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0B" w:rsidRDefault="0031670B" w:rsidP="00281F21">
      <w:pPr>
        <w:pStyle w:val="PargrafodaLista"/>
        <w:ind w:left="0"/>
        <w:jc w:val="both"/>
        <w:rPr>
          <w:rFonts w:ascii="Times New Roman" w:hAnsi="Times New Roman"/>
          <w:b/>
          <w:sz w:val="28"/>
          <w:szCs w:val="28"/>
        </w:rPr>
      </w:pPr>
    </w:p>
    <w:tbl>
      <w:tblPr>
        <w:tblStyle w:val="Tabelacomgrade"/>
        <w:tblW w:w="0" w:type="auto"/>
        <w:tblLayout w:type="fixed"/>
        <w:tblLook w:val="04A0" w:firstRow="1" w:lastRow="0" w:firstColumn="1" w:lastColumn="0" w:noHBand="0" w:noVBand="1"/>
      </w:tblPr>
      <w:tblGrid>
        <w:gridCol w:w="7792"/>
        <w:gridCol w:w="702"/>
      </w:tblGrid>
      <w:tr w:rsidR="00005C18" w:rsidTr="00AC2BA3">
        <w:tc>
          <w:tcPr>
            <w:tcW w:w="8494" w:type="dxa"/>
            <w:gridSpan w:val="2"/>
          </w:tcPr>
          <w:p w:rsidR="00005C18" w:rsidRDefault="00005C18" w:rsidP="00AC2BA3">
            <w:pPr>
              <w:tabs>
                <w:tab w:val="left" w:pos="3160"/>
              </w:tabs>
              <w:jc w:val="center"/>
            </w:pPr>
            <w:r>
              <w:t>CHECKLIST DISPENSA DE LICITAÇÃO</w:t>
            </w:r>
          </w:p>
          <w:p w:rsidR="00005C18" w:rsidRDefault="00005C18" w:rsidP="00AC2BA3">
            <w:pPr>
              <w:tabs>
                <w:tab w:val="left" w:pos="3160"/>
              </w:tabs>
              <w:jc w:val="center"/>
            </w:pPr>
          </w:p>
        </w:tc>
      </w:tr>
      <w:tr w:rsidR="00005C18" w:rsidTr="00AC2BA3">
        <w:tc>
          <w:tcPr>
            <w:tcW w:w="7792" w:type="dxa"/>
          </w:tcPr>
          <w:p w:rsidR="00005C18" w:rsidRDefault="00005C18" w:rsidP="00AC2BA3">
            <w:pPr>
              <w:tabs>
                <w:tab w:val="left" w:pos="3160"/>
              </w:tabs>
            </w:pPr>
            <w:r>
              <w:t>Tipos de Documentos e Autorizações</w:t>
            </w:r>
          </w:p>
        </w:tc>
        <w:tc>
          <w:tcPr>
            <w:tcW w:w="702" w:type="dxa"/>
          </w:tcPr>
          <w:p w:rsidR="00005C18" w:rsidRDefault="00005C18" w:rsidP="00AC2BA3">
            <w:pPr>
              <w:tabs>
                <w:tab w:val="left" w:pos="3160"/>
              </w:tabs>
            </w:pPr>
            <w:r w:rsidRPr="00B34AEA">
              <w:rPr>
                <w:sz w:val="18"/>
              </w:rPr>
              <w:t>Ok</w:t>
            </w:r>
          </w:p>
        </w:tc>
      </w:tr>
      <w:tr w:rsidR="00005C18" w:rsidTr="00AC2BA3">
        <w:tc>
          <w:tcPr>
            <w:tcW w:w="7792" w:type="dxa"/>
          </w:tcPr>
          <w:p w:rsidR="00005C18" w:rsidRDefault="00005C18" w:rsidP="00AC2BA3">
            <w:pPr>
              <w:tabs>
                <w:tab w:val="left" w:pos="3160"/>
              </w:tabs>
            </w:pPr>
            <w:r>
              <w:t>Memorando com justificativa da escolha do fornecedor</w:t>
            </w:r>
          </w:p>
          <w:p w:rsidR="00005C18" w:rsidRDefault="00005C18" w:rsidP="00AC2BA3">
            <w:pPr>
              <w:tabs>
                <w:tab w:val="left" w:pos="3160"/>
              </w:tabs>
            </w:pPr>
          </w:p>
        </w:tc>
        <w:tc>
          <w:tcPr>
            <w:tcW w:w="702" w:type="dxa"/>
          </w:tcPr>
          <w:p w:rsidR="00005C18" w:rsidRDefault="00005C18" w:rsidP="00AC2BA3">
            <w:pPr>
              <w:tabs>
                <w:tab w:val="left" w:pos="3160"/>
              </w:tabs>
            </w:pPr>
          </w:p>
        </w:tc>
      </w:tr>
      <w:tr w:rsidR="00005C18" w:rsidTr="00AC2BA3">
        <w:tc>
          <w:tcPr>
            <w:tcW w:w="7792" w:type="dxa"/>
          </w:tcPr>
          <w:p w:rsidR="00005C18" w:rsidRDefault="00005C18" w:rsidP="00AC2BA3">
            <w:pPr>
              <w:tabs>
                <w:tab w:val="left" w:pos="3160"/>
              </w:tabs>
            </w:pPr>
            <w:r>
              <w:t>Termo de Referência – Conforme modelo disponibilizado no site</w:t>
            </w:r>
          </w:p>
          <w:p w:rsidR="00005C18" w:rsidRDefault="00005C18" w:rsidP="00AC2BA3">
            <w:pPr>
              <w:tabs>
                <w:tab w:val="left" w:pos="3160"/>
              </w:tabs>
            </w:pPr>
          </w:p>
        </w:tc>
        <w:tc>
          <w:tcPr>
            <w:tcW w:w="702" w:type="dxa"/>
          </w:tcPr>
          <w:p w:rsidR="00005C18" w:rsidRDefault="00005C18" w:rsidP="00AC2BA3">
            <w:pPr>
              <w:tabs>
                <w:tab w:val="left" w:pos="3160"/>
              </w:tabs>
            </w:pPr>
          </w:p>
        </w:tc>
      </w:tr>
      <w:tr w:rsidR="00005C18" w:rsidTr="00AC2BA3">
        <w:tc>
          <w:tcPr>
            <w:tcW w:w="7792" w:type="dxa"/>
          </w:tcPr>
          <w:p w:rsidR="00005C18" w:rsidRDefault="00005C18" w:rsidP="00AC2BA3">
            <w:pPr>
              <w:tabs>
                <w:tab w:val="left" w:pos="3160"/>
              </w:tabs>
            </w:pPr>
            <w:r>
              <w:t>Solicitação do Pedido no Sistema de Compras</w:t>
            </w:r>
          </w:p>
          <w:p w:rsidR="00005C18" w:rsidRDefault="00005C18" w:rsidP="00AC2BA3">
            <w:pPr>
              <w:tabs>
                <w:tab w:val="left" w:pos="3160"/>
              </w:tabs>
            </w:pPr>
          </w:p>
        </w:tc>
        <w:tc>
          <w:tcPr>
            <w:tcW w:w="702" w:type="dxa"/>
          </w:tcPr>
          <w:p w:rsidR="00005C18" w:rsidRDefault="00005C18" w:rsidP="00AC2BA3">
            <w:pPr>
              <w:tabs>
                <w:tab w:val="left" w:pos="3160"/>
              </w:tabs>
            </w:pPr>
          </w:p>
        </w:tc>
      </w:tr>
      <w:tr w:rsidR="00005C18" w:rsidTr="00AC2BA3">
        <w:tc>
          <w:tcPr>
            <w:tcW w:w="7792" w:type="dxa"/>
          </w:tcPr>
          <w:p w:rsidR="00005C18" w:rsidRDefault="00005C18" w:rsidP="00AC2BA3">
            <w:pPr>
              <w:tabs>
                <w:tab w:val="left" w:pos="3160"/>
              </w:tabs>
            </w:pPr>
            <w:r>
              <w:t>Orçamentos (assinados pela empresa e pelo responsável da pesquisa)</w:t>
            </w:r>
          </w:p>
          <w:p w:rsidR="00005C18" w:rsidRDefault="00005C18" w:rsidP="00AC2BA3">
            <w:pPr>
              <w:tabs>
                <w:tab w:val="left" w:pos="3160"/>
              </w:tabs>
            </w:pPr>
          </w:p>
        </w:tc>
        <w:tc>
          <w:tcPr>
            <w:tcW w:w="702" w:type="dxa"/>
          </w:tcPr>
          <w:p w:rsidR="00005C18" w:rsidRDefault="00005C18" w:rsidP="00AC2BA3">
            <w:pPr>
              <w:tabs>
                <w:tab w:val="left" w:pos="3160"/>
              </w:tabs>
            </w:pPr>
          </w:p>
        </w:tc>
      </w:tr>
      <w:tr w:rsidR="00005C18" w:rsidTr="00AC2BA3">
        <w:tc>
          <w:tcPr>
            <w:tcW w:w="7792" w:type="dxa"/>
          </w:tcPr>
          <w:p w:rsidR="00005C18" w:rsidRDefault="00005C18" w:rsidP="00AC2BA3">
            <w:pPr>
              <w:tabs>
                <w:tab w:val="left" w:pos="3160"/>
              </w:tabs>
            </w:pPr>
            <w:r>
              <w:t xml:space="preserve">Documento de Habilitação Jurídica e Fiscal da empresa </w:t>
            </w:r>
          </w:p>
          <w:p w:rsidR="00005C18" w:rsidRDefault="00005C18" w:rsidP="00AC2BA3">
            <w:pPr>
              <w:tabs>
                <w:tab w:val="left" w:pos="3160"/>
              </w:tabs>
            </w:pPr>
          </w:p>
        </w:tc>
        <w:tc>
          <w:tcPr>
            <w:tcW w:w="702" w:type="dxa"/>
          </w:tcPr>
          <w:p w:rsidR="00005C18" w:rsidRDefault="00005C18" w:rsidP="00AC2BA3">
            <w:pPr>
              <w:tabs>
                <w:tab w:val="left" w:pos="3160"/>
              </w:tabs>
            </w:pPr>
          </w:p>
        </w:tc>
      </w:tr>
      <w:tr w:rsidR="00005C18" w:rsidTr="00AC2BA3">
        <w:tc>
          <w:tcPr>
            <w:tcW w:w="7792" w:type="dxa"/>
            <w:tcBorders>
              <w:top w:val="single" w:sz="4" w:space="0" w:color="auto"/>
              <w:left w:val="single" w:sz="4" w:space="0" w:color="auto"/>
              <w:bottom w:val="single" w:sz="4" w:space="0" w:color="auto"/>
              <w:right w:val="single" w:sz="12" w:space="0" w:color="auto"/>
            </w:tcBorders>
            <w:hideMark/>
          </w:tcPr>
          <w:p w:rsidR="00005C18" w:rsidRDefault="00005C18" w:rsidP="00AC2BA3">
            <w:pPr>
              <w:tabs>
                <w:tab w:val="left" w:pos="3160"/>
              </w:tabs>
            </w:pPr>
            <w:r>
              <w:t>Caso for por Convênio ou Emenda Parlamentar, anexar todos os documentos (Convênio, Publicação, Plano de Trabalho e outros</w:t>
            </w:r>
            <w:proofErr w:type="gramStart"/>
            <w:r>
              <w:t>)</w:t>
            </w:r>
            <w:proofErr w:type="gramEnd"/>
          </w:p>
        </w:tc>
        <w:tc>
          <w:tcPr>
            <w:tcW w:w="702" w:type="dxa"/>
            <w:tcBorders>
              <w:top w:val="single" w:sz="4" w:space="0" w:color="auto"/>
              <w:left w:val="single" w:sz="12" w:space="0" w:color="auto"/>
              <w:bottom w:val="single" w:sz="4" w:space="0" w:color="auto"/>
              <w:right w:val="single" w:sz="4" w:space="0" w:color="auto"/>
            </w:tcBorders>
          </w:tcPr>
          <w:p w:rsidR="00005C18" w:rsidRDefault="00005C18" w:rsidP="00AC2BA3">
            <w:pPr>
              <w:tabs>
                <w:tab w:val="left" w:pos="3160"/>
              </w:tabs>
            </w:pPr>
          </w:p>
        </w:tc>
      </w:tr>
    </w:tbl>
    <w:p w:rsidR="00005C18" w:rsidRDefault="00005C18" w:rsidP="00005C18"/>
    <w:p w:rsidR="00005C18" w:rsidRDefault="00005C18" w:rsidP="00005C18">
      <w:r>
        <w:t xml:space="preserve">Santa Teresa, -- de ---- </w:t>
      </w:r>
      <w:proofErr w:type="spellStart"/>
      <w:r>
        <w:t>de</w:t>
      </w:r>
      <w:proofErr w:type="spellEnd"/>
      <w:r>
        <w:t xml:space="preserve"> 20</w:t>
      </w:r>
      <w:proofErr w:type="gramStart"/>
      <w:r>
        <w:t>—</w:t>
      </w:r>
      <w:proofErr w:type="gramEnd"/>
    </w:p>
    <w:p w:rsidR="00005C18" w:rsidRDefault="00005C18" w:rsidP="00005C18"/>
    <w:p w:rsidR="00005C18" w:rsidRDefault="00005C18" w:rsidP="00005C18">
      <w:pPr>
        <w:jc w:val="center"/>
      </w:pPr>
      <w:r>
        <w:t>___________________________________________</w:t>
      </w:r>
    </w:p>
    <w:p w:rsidR="00005C18" w:rsidRDefault="00005C18" w:rsidP="00005C18">
      <w:pPr>
        <w:jc w:val="center"/>
      </w:pPr>
      <w:r>
        <w:t>Responsável</w:t>
      </w: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bookmarkStart w:id="0" w:name="_GoBack"/>
      <w:bookmarkEnd w:id="0"/>
    </w:p>
    <w:p w:rsidR="00005C18" w:rsidRPr="007B7DBE" w:rsidRDefault="00005C18"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w:t>
      </w:r>
      <w:r w:rsidR="009929C3">
        <w:rPr>
          <w:rFonts w:ascii="Times New Roman" w:hAnsi="Times New Roman"/>
          <w:b/>
          <w:sz w:val="28"/>
          <w:szCs w:val="28"/>
        </w:rPr>
        <w:t>Dispensa</w:t>
      </w:r>
      <w:r w:rsidR="00C30818">
        <w:rPr>
          <w:rFonts w:ascii="Times New Roman" w:hAnsi="Times New Roman"/>
          <w:b/>
          <w:sz w:val="28"/>
          <w:szCs w:val="28"/>
        </w:rPr>
        <w:t xml:space="preserve"> de Licitação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DB1F13">
        <w:rPr>
          <w:rFonts w:ascii="Times New Roman" w:hAnsi="Times New Roman"/>
          <w:sz w:val="28"/>
          <w:szCs w:val="28"/>
        </w:rPr>
        <w:t>.1 A</w:t>
      </w:r>
      <w:r w:rsidR="00C30818">
        <w:rPr>
          <w:rFonts w:ascii="Times New Roman" w:hAnsi="Times New Roman"/>
          <w:sz w:val="28"/>
          <w:szCs w:val="28"/>
        </w:rPr>
        <w:t xml:space="preserve"> contratação</w:t>
      </w:r>
      <w:r w:rsidR="009929C3">
        <w:rPr>
          <w:rFonts w:ascii="Times New Roman" w:hAnsi="Times New Roman"/>
          <w:sz w:val="28"/>
          <w:szCs w:val="28"/>
        </w:rPr>
        <w:t xml:space="preserve"> será por DISPENSA</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4.2 </w:t>
      </w:r>
      <w:r w:rsidRPr="00780BF7">
        <w:rPr>
          <w:rFonts w:ascii="Times New Roman" w:hAnsi="Times New Roman"/>
          <w:sz w:val="28"/>
          <w:szCs w:val="28"/>
          <w:highlight w:val="yellow"/>
        </w:rPr>
        <w:t>Just</w:t>
      </w:r>
      <w:r w:rsidR="00C30818">
        <w:rPr>
          <w:rFonts w:ascii="Times New Roman" w:hAnsi="Times New Roman"/>
          <w:sz w:val="28"/>
          <w:szCs w:val="28"/>
          <w:highlight w:val="yellow"/>
        </w:rPr>
        <w:t xml:space="preserve">ificar </w:t>
      </w:r>
      <w:r w:rsidR="009929C3">
        <w:rPr>
          <w:rFonts w:ascii="Times New Roman" w:hAnsi="Times New Roman"/>
          <w:sz w:val="28"/>
          <w:szCs w:val="28"/>
          <w:highlight w:val="yellow"/>
        </w:rPr>
        <w:t xml:space="preserve">o </w:t>
      </w:r>
      <w:r w:rsidR="00C30818">
        <w:rPr>
          <w:rFonts w:ascii="Times New Roman" w:hAnsi="Times New Roman"/>
          <w:sz w:val="28"/>
          <w:szCs w:val="28"/>
          <w:highlight w:val="yellow"/>
        </w:rPr>
        <w:t>porque da</w:t>
      </w:r>
      <w:r w:rsidR="009929C3">
        <w:rPr>
          <w:rFonts w:ascii="Times New Roman" w:hAnsi="Times New Roman"/>
          <w:sz w:val="28"/>
          <w:szCs w:val="28"/>
          <w:highlight w:val="yellow"/>
        </w:rPr>
        <w:t xml:space="preserve"> Dispensa</w:t>
      </w:r>
      <w:r w:rsidR="00780BF7" w:rsidRPr="00780BF7">
        <w:rPr>
          <w:rFonts w:ascii="Times New Roman" w:hAnsi="Times New Roman"/>
          <w:sz w:val="28"/>
          <w:szCs w:val="28"/>
          <w:highlight w:val="yellow"/>
        </w:rPr>
        <w:t xml:space="preserve">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Multa  de 0,5% (meio por cento) por dia de atraso na entrega dos 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Declaração de inidoneidade para licitar e contratar com  a 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w:t>
      </w:r>
      <w:r w:rsidRPr="007B7DBE">
        <w:rPr>
          <w:rFonts w:ascii="Times New Roman" w:hAnsi="Times New Roman"/>
          <w:color w:val="000000"/>
          <w:sz w:val="28"/>
          <w:szCs w:val="28"/>
        </w:rPr>
        <w:lastRenderedPageBreak/>
        <w:t>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Primeiro: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"c" e "d" do subitem 14</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"b" e "c" do subitem 14</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00710162" w:rsidRPr="007B7DBE">
        <w:rPr>
          <w:rFonts w:ascii="Times New Roman" w:hAnsi="Times New Roman"/>
          <w:color w:val="000000"/>
          <w:sz w:val="28"/>
          <w:szCs w:val="28"/>
        </w:rPr>
        <w:t xml:space="preserve">ista </w:t>
      </w:r>
      <w:r>
        <w:rPr>
          <w:rFonts w:ascii="Times New Roman" w:hAnsi="Times New Roman"/>
          <w:color w:val="000000"/>
          <w:sz w:val="28"/>
          <w:szCs w:val="28"/>
        </w:rPr>
        <w:t>na alínea "d" do subitem 14</w:t>
      </w:r>
      <w:r w:rsidR="00B74D23" w:rsidRPr="007B7DBE">
        <w:rPr>
          <w:rFonts w:ascii="Times New Roman" w:hAnsi="Times New Roman"/>
          <w:color w:val="000000"/>
          <w:sz w:val="28"/>
          <w:szCs w:val="28"/>
        </w:rPr>
        <w:t xml:space="preserve">.2 é de competência do </w:t>
      </w:r>
      <w:proofErr w:type="gramStart"/>
      <w:r w:rsidR="00B74D23" w:rsidRPr="007B7DBE">
        <w:rPr>
          <w:rFonts w:ascii="Times New Roman" w:hAnsi="Times New Roman"/>
          <w:color w:val="000000"/>
          <w:sz w:val="28"/>
          <w:szCs w:val="28"/>
        </w:rPr>
        <w:t>Sr.</w:t>
      </w:r>
      <w:proofErr w:type="gramEnd"/>
      <w:r w:rsidR="00B74D23"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w:t>
      </w:r>
      <w:r w:rsidR="00C30818">
        <w:rPr>
          <w:rFonts w:ascii="Times New Roman" w:hAnsi="Times New Roman"/>
          <w:bCs/>
          <w:color w:val="000000"/>
          <w:sz w:val="28"/>
          <w:szCs w:val="28"/>
        </w:rPr>
        <w:t>4</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00C30818">
        <w:rPr>
          <w:rFonts w:ascii="Times New Roman" w:hAnsi="Times New Roman"/>
          <w:color w:val="000000"/>
          <w:sz w:val="28"/>
          <w:szCs w:val="28"/>
        </w:rPr>
        <w:t>stas nas "c" e "d" do subitem 14</w:t>
      </w:r>
      <w:r w:rsidR="00B74D23" w:rsidRPr="007B7DBE">
        <w:rPr>
          <w:rFonts w:ascii="Times New Roman" w:hAnsi="Times New Roman"/>
          <w:color w:val="000000"/>
          <w:sz w:val="28"/>
          <w:szCs w:val="28"/>
        </w:rPr>
        <w:t xml:space="preserve">.2 poderão também </w:t>
      </w:r>
      <w:r w:rsidR="00B74D23" w:rsidRPr="007B7DBE">
        <w:rPr>
          <w:rFonts w:ascii="Times New Roman" w:hAnsi="Times New Roman"/>
          <w:color w:val="000000"/>
          <w:sz w:val="28"/>
          <w:szCs w:val="28"/>
        </w:rPr>
        <w:lastRenderedPageBreak/>
        <w:t>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AA" w:rsidRDefault="00C010AA" w:rsidP="006D7EBE">
      <w:pPr>
        <w:spacing w:after="0" w:line="240" w:lineRule="auto"/>
      </w:pPr>
      <w:r>
        <w:separator/>
      </w:r>
    </w:p>
  </w:endnote>
  <w:endnote w:type="continuationSeparator" w:id="0">
    <w:p w:rsidR="00C010AA" w:rsidRDefault="00C010AA"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AA" w:rsidRDefault="00C010AA" w:rsidP="006D7EBE">
      <w:pPr>
        <w:spacing w:after="0" w:line="240" w:lineRule="auto"/>
      </w:pPr>
      <w:r>
        <w:separator/>
      </w:r>
    </w:p>
  </w:footnote>
  <w:footnote w:type="continuationSeparator" w:id="0">
    <w:p w:rsidR="00C010AA" w:rsidRDefault="00C010AA"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05C18"/>
    <w:rsid w:val="00027A7A"/>
    <w:rsid w:val="000311E1"/>
    <w:rsid w:val="000348C6"/>
    <w:rsid w:val="00042347"/>
    <w:rsid w:val="0005735D"/>
    <w:rsid w:val="000709D0"/>
    <w:rsid w:val="000A499A"/>
    <w:rsid w:val="000F194B"/>
    <w:rsid w:val="000F5D20"/>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7B1E"/>
    <w:rsid w:val="00444014"/>
    <w:rsid w:val="00453338"/>
    <w:rsid w:val="00501D50"/>
    <w:rsid w:val="00534BE6"/>
    <w:rsid w:val="00553AB8"/>
    <w:rsid w:val="00566C95"/>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E4207"/>
    <w:rsid w:val="0090345D"/>
    <w:rsid w:val="00903CF1"/>
    <w:rsid w:val="0090653B"/>
    <w:rsid w:val="00923AF1"/>
    <w:rsid w:val="009929C3"/>
    <w:rsid w:val="009968A7"/>
    <w:rsid w:val="00996F72"/>
    <w:rsid w:val="009B7817"/>
    <w:rsid w:val="00A20D45"/>
    <w:rsid w:val="00AC3B2F"/>
    <w:rsid w:val="00B30EF9"/>
    <w:rsid w:val="00B349F8"/>
    <w:rsid w:val="00B42026"/>
    <w:rsid w:val="00B74D23"/>
    <w:rsid w:val="00BB5051"/>
    <w:rsid w:val="00BE00D4"/>
    <w:rsid w:val="00C00D5D"/>
    <w:rsid w:val="00C010AA"/>
    <w:rsid w:val="00C30818"/>
    <w:rsid w:val="00CE6056"/>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328F4"/>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C162-7459-4454-8FE2-C6B71539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2682</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dcterms:created xsi:type="dcterms:W3CDTF">2019-03-22T13:32:00Z</dcterms:created>
  <dcterms:modified xsi:type="dcterms:W3CDTF">2019-03-25T14:02:00Z</dcterms:modified>
</cp:coreProperties>
</file>