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ayout w:type="fixed"/>
        <w:tblLook w:val="04A0" w:firstRow="1" w:lastRow="0" w:firstColumn="1" w:lastColumn="0" w:noHBand="0" w:noVBand="1"/>
      </w:tblPr>
      <w:tblGrid>
        <w:gridCol w:w="7792"/>
        <w:gridCol w:w="702"/>
      </w:tblGrid>
      <w:tr w:rsidR="00B32508" w:rsidTr="00832B2C">
        <w:tc>
          <w:tcPr>
            <w:tcW w:w="8494" w:type="dxa"/>
            <w:gridSpan w:val="2"/>
          </w:tcPr>
          <w:p w:rsidR="00B32508" w:rsidRDefault="00B32508" w:rsidP="00832B2C">
            <w:pPr>
              <w:tabs>
                <w:tab w:val="left" w:pos="3160"/>
              </w:tabs>
              <w:jc w:val="center"/>
            </w:pPr>
            <w:r>
              <w:t>CHECKLIST LICITAÇÃO</w:t>
            </w:r>
          </w:p>
        </w:tc>
      </w:tr>
      <w:tr w:rsidR="00B32508" w:rsidTr="00832B2C">
        <w:tc>
          <w:tcPr>
            <w:tcW w:w="7792" w:type="dxa"/>
          </w:tcPr>
          <w:p w:rsidR="00B32508" w:rsidRDefault="00B32508" w:rsidP="00832B2C">
            <w:pPr>
              <w:tabs>
                <w:tab w:val="left" w:pos="3160"/>
              </w:tabs>
            </w:pPr>
            <w:r>
              <w:t>Tipos de Documentos e Autorizações</w:t>
            </w:r>
          </w:p>
        </w:tc>
        <w:tc>
          <w:tcPr>
            <w:tcW w:w="702" w:type="dxa"/>
          </w:tcPr>
          <w:p w:rsidR="00B32508" w:rsidRDefault="00B32508" w:rsidP="00832B2C">
            <w:pPr>
              <w:tabs>
                <w:tab w:val="left" w:pos="3160"/>
              </w:tabs>
            </w:pPr>
            <w:r w:rsidRPr="00B34AEA">
              <w:rPr>
                <w:sz w:val="18"/>
              </w:rPr>
              <w:t>Ok</w:t>
            </w:r>
          </w:p>
        </w:tc>
      </w:tr>
      <w:tr w:rsidR="00B32508" w:rsidTr="00832B2C">
        <w:tc>
          <w:tcPr>
            <w:tcW w:w="7792" w:type="dxa"/>
          </w:tcPr>
          <w:p w:rsidR="00B32508" w:rsidRDefault="00B32508" w:rsidP="00832B2C">
            <w:pPr>
              <w:tabs>
                <w:tab w:val="left" w:pos="3160"/>
              </w:tabs>
            </w:pPr>
            <w:r>
              <w:t>Memorando (no caso de escolha da realização de Pregão Presencial, deverá vir justificado</w:t>
            </w:r>
            <w:proofErr w:type="gramStart"/>
            <w:r>
              <w:t>)</w:t>
            </w:r>
            <w:proofErr w:type="gramEnd"/>
          </w:p>
        </w:tc>
        <w:tc>
          <w:tcPr>
            <w:tcW w:w="702" w:type="dxa"/>
          </w:tcPr>
          <w:p w:rsidR="00B32508" w:rsidRDefault="00B32508" w:rsidP="00832B2C">
            <w:pPr>
              <w:tabs>
                <w:tab w:val="left" w:pos="3160"/>
              </w:tabs>
            </w:pPr>
          </w:p>
        </w:tc>
      </w:tr>
      <w:tr w:rsidR="00B32508" w:rsidTr="00832B2C">
        <w:tc>
          <w:tcPr>
            <w:tcW w:w="7792" w:type="dxa"/>
          </w:tcPr>
          <w:p w:rsidR="00B32508" w:rsidRDefault="00B32508" w:rsidP="00832B2C">
            <w:pPr>
              <w:tabs>
                <w:tab w:val="left" w:pos="3160"/>
              </w:tabs>
            </w:pPr>
            <w:r>
              <w:t>Termo de Referência – Conforme modelo disponibilizado no site</w:t>
            </w:r>
          </w:p>
          <w:p w:rsidR="00B32508" w:rsidRDefault="00B32508" w:rsidP="00832B2C">
            <w:pPr>
              <w:tabs>
                <w:tab w:val="left" w:pos="3160"/>
              </w:tabs>
            </w:pPr>
          </w:p>
        </w:tc>
        <w:tc>
          <w:tcPr>
            <w:tcW w:w="702" w:type="dxa"/>
          </w:tcPr>
          <w:p w:rsidR="00B32508" w:rsidRDefault="00B32508" w:rsidP="00832B2C">
            <w:pPr>
              <w:tabs>
                <w:tab w:val="left" w:pos="3160"/>
              </w:tabs>
            </w:pPr>
          </w:p>
        </w:tc>
      </w:tr>
      <w:tr w:rsidR="00B32508" w:rsidTr="00832B2C">
        <w:tc>
          <w:tcPr>
            <w:tcW w:w="7792" w:type="dxa"/>
          </w:tcPr>
          <w:p w:rsidR="00B32508" w:rsidRDefault="00B32508" w:rsidP="00832B2C">
            <w:pPr>
              <w:tabs>
                <w:tab w:val="left" w:pos="3160"/>
              </w:tabs>
            </w:pPr>
            <w:r>
              <w:t>Solicitação do Pedido no Sistema de Compras</w:t>
            </w:r>
          </w:p>
          <w:p w:rsidR="00B32508" w:rsidRDefault="00B32508" w:rsidP="00832B2C">
            <w:pPr>
              <w:tabs>
                <w:tab w:val="left" w:pos="3160"/>
              </w:tabs>
            </w:pPr>
          </w:p>
        </w:tc>
        <w:tc>
          <w:tcPr>
            <w:tcW w:w="702" w:type="dxa"/>
          </w:tcPr>
          <w:p w:rsidR="00B32508" w:rsidRDefault="00B32508" w:rsidP="00832B2C">
            <w:pPr>
              <w:tabs>
                <w:tab w:val="left" w:pos="3160"/>
              </w:tabs>
            </w:pPr>
          </w:p>
        </w:tc>
      </w:tr>
      <w:tr w:rsidR="00B32508" w:rsidTr="00832B2C">
        <w:tc>
          <w:tcPr>
            <w:tcW w:w="7792" w:type="dxa"/>
          </w:tcPr>
          <w:p w:rsidR="00B32508" w:rsidRDefault="00B32508" w:rsidP="00832B2C">
            <w:pPr>
              <w:tabs>
                <w:tab w:val="left" w:pos="3160"/>
              </w:tabs>
            </w:pPr>
            <w:r>
              <w:t>Mínimo de 03 (três) orçamentos de ME/EPP (assinados pela empresa e pelo responsável da pesquisa)</w:t>
            </w:r>
          </w:p>
        </w:tc>
        <w:tc>
          <w:tcPr>
            <w:tcW w:w="702" w:type="dxa"/>
          </w:tcPr>
          <w:p w:rsidR="00B32508" w:rsidRDefault="00B32508" w:rsidP="00832B2C">
            <w:pPr>
              <w:tabs>
                <w:tab w:val="left" w:pos="3160"/>
              </w:tabs>
            </w:pPr>
          </w:p>
        </w:tc>
      </w:tr>
      <w:tr w:rsidR="00B32508" w:rsidTr="00832B2C">
        <w:tc>
          <w:tcPr>
            <w:tcW w:w="7792" w:type="dxa"/>
            <w:tcBorders>
              <w:top w:val="single" w:sz="4" w:space="0" w:color="auto"/>
              <w:left w:val="single" w:sz="4" w:space="0" w:color="auto"/>
              <w:bottom w:val="single" w:sz="4" w:space="0" w:color="auto"/>
              <w:right w:val="single" w:sz="12" w:space="0" w:color="auto"/>
            </w:tcBorders>
            <w:hideMark/>
          </w:tcPr>
          <w:p w:rsidR="00B32508" w:rsidRDefault="00B32508" w:rsidP="00832B2C">
            <w:pPr>
              <w:tabs>
                <w:tab w:val="left" w:pos="3160"/>
              </w:tabs>
            </w:pPr>
            <w:r>
              <w:t>Caso for por Convênio ou Emenda Parlamentar, anexar todos os documentos (Convênio, Publicação, Plano de Trabalho e outros</w:t>
            </w:r>
            <w:proofErr w:type="gramStart"/>
            <w:r>
              <w:t>)</w:t>
            </w:r>
            <w:proofErr w:type="gramEnd"/>
          </w:p>
        </w:tc>
        <w:tc>
          <w:tcPr>
            <w:tcW w:w="702" w:type="dxa"/>
            <w:tcBorders>
              <w:top w:val="single" w:sz="4" w:space="0" w:color="auto"/>
              <w:left w:val="single" w:sz="12" w:space="0" w:color="auto"/>
              <w:bottom w:val="single" w:sz="4" w:space="0" w:color="auto"/>
              <w:right w:val="single" w:sz="4" w:space="0" w:color="auto"/>
            </w:tcBorders>
          </w:tcPr>
          <w:p w:rsidR="00B32508" w:rsidRDefault="00B32508" w:rsidP="00832B2C">
            <w:pPr>
              <w:tabs>
                <w:tab w:val="left" w:pos="3160"/>
              </w:tabs>
            </w:pPr>
          </w:p>
        </w:tc>
      </w:tr>
    </w:tbl>
    <w:p w:rsidR="00B32508" w:rsidRDefault="00B32508" w:rsidP="00B32508"/>
    <w:p w:rsidR="00B32508" w:rsidRDefault="00B32508" w:rsidP="00B32508">
      <w:r>
        <w:t xml:space="preserve">Santa Teresa, -- de ---- </w:t>
      </w:r>
      <w:proofErr w:type="spellStart"/>
      <w:r>
        <w:t>de</w:t>
      </w:r>
      <w:proofErr w:type="spellEnd"/>
      <w:r>
        <w:t xml:space="preserve"> 20</w:t>
      </w:r>
      <w:proofErr w:type="gramStart"/>
      <w:r>
        <w:t>—</w:t>
      </w:r>
      <w:proofErr w:type="gramEnd"/>
    </w:p>
    <w:p w:rsidR="00B32508" w:rsidRDefault="00B32508" w:rsidP="00B32508"/>
    <w:p w:rsidR="00B32508" w:rsidRDefault="00B32508" w:rsidP="00B32508">
      <w:pPr>
        <w:jc w:val="center"/>
      </w:pPr>
      <w:r>
        <w:t>___________________________________________</w:t>
      </w:r>
    </w:p>
    <w:p w:rsidR="00B32508" w:rsidRDefault="00B32508" w:rsidP="00B32508">
      <w:pPr>
        <w:jc w:val="center"/>
      </w:pPr>
      <w:r>
        <w:t>Responsável</w:t>
      </w:r>
    </w:p>
    <w:p w:rsidR="0031670B" w:rsidRDefault="0031670B"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Pr="007B7DBE" w:rsidRDefault="00B32508" w:rsidP="00281F21">
      <w:pPr>
        <w:pStyle w:val="PargrafodaLista"/>
        <w:ind w:left="0"/>
        <w:jc w:val="both"/>
        <w:rPr>
          <w:rFonts w:ascii="Times New Roman" w:hAnsi="Times New Roman"/>
          <w:b/>
          <w:sz w:val="28"/>
          <w:szCs w:val="28"/>
        </w:rPr>
      </w:pPr>
      <w:bookmarkStart w:id="0" w:name="_GoBack"/>
      <w:bookmarkEnd w:id="0"/>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8C573F">
        <w:rPr>
          <w:rFonts w:ascii="Times New Roman" w:hAnsi="Times New Roman"/>
          <w:b/>
          <w:sz w:val="28"/>
          <w:szCs w:val="28"/>
        </w:rPr>
        <w:t xml:space="preserve"> Pregão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D64A2D" w:rsidRPr="007B7DBE">
        <w:rPr>
          <w:rFonts w:ascii="Times New Roman" w:hAnsi="Times New Roman"/>
          <w:b/>
          <w:sz w:val="28"/>
          <w:szCs w:val="28"/>
        </w:rPr>
        <w:t xml:space="preserve"> - MODALIDADE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Pr="007B7DBE" w:rsidRDefault="00EF6E56" w:rsidP="00FF5B8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FF5B8E" w:rsidRPr="007B7DBE">
        <w:rPr>
          <w:rFonts w:ascii="Times New Roman" w:hAnsi="Times New Roman"/>
          <w:sz w:val="28"/>
          <w:szCs w:val="28"/>
        </w:rPr>
        <w:t xml:space="preserve">.1 </w:t>
      </w:r>
      <w:proofErr w:type="gramStart"/>
      <w:r w:rsidR="00FF5B8E" w:rsidRPr="007B7DBE">
        <w:rPr>
          <w:rFonts w:ascii="Times New Roman" w:hAnsi="Times New Roman"/>
          <w:sz w:val="28"/>
          <w:szCs w:val="28"/>
        </w:rPr>
        <w:t>Será</w:t>
      </w:r>
      <w:proofErr w:type="gramEnd"/>
      <w:r w:rsidR="00FF5B8E" w:rsidRPr="007B7DBE">
        <w:rPr>
          <w:rFonts w:ascii="Times New Roman" w:hAnsi="Times New Roman"/>
          <w:sz w:val="28"/>
          <w:szCs w:val="28"/>
        </w:rPr>
        <w:t xml:space="preserve"> realizada licitação, na modalidade de </w:t>
      </w:r>
      <w:r w:rsidR="000348C6" w:rsidRPr="00042347">
        <w:rPr>
          <w:rFonts w:ascii="Times New Roman" w:hAnsi="Times New Roman"/>
          <w:sz w:val="28"/>
          <w:szCs w:val="28"/>
          <w:highlight w:val="yellow"/>
        </w:rPr>
        <w:t>PREGÃO</w:t>
      </w:r>
      <w:r w:rsidR="0090653B" w:rsidRPr="007B7DBE">
        <w:rPr>
          <w:rFonts w:ascii="Times New Roman" w:hAnsi="Times New Roman"/>
          <w:sz w:val="28"/>
          <w:szCs w:val="28"/>
        </w:rPr>
        <w:t>, conforme rege o</w:t>
      </w:r>
      <w:r w:rsidR="008C573F">
        <w:rPr>
          <w:rFonts w:ascii="Times New Roman" w:hAnsi="Times New Roman"/>
          <w:sz w:val="28"/>
          <w:szCs w:val="28"/>
        </w:rPr>
        <w:t xml:space="preserve"> Decreto Municipal nº 265/2018.</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F62BE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w:t>
      </w:r>
      <w:r w:rsidR="00F62BE7">
        <w:rPr>
          <w:rFonts w:ascii="Times New Roman" w:hAnsi="Times New Roman"/>
          <w:sz w:val="28"/>
          <w:szCs w:val="28"/>
          <w:lang w:val="x-none"/>
        </w:rPr>
        <w:t xml:space="preserve"> da Autorização de Fornecimento</w:t>
      </w:r>
      <w:r w:rsidR="008C573F">
        <w:rPr>
          <w:rFonts w:ascii="Times New Roman" w:hAnsi="Times New Roman"/>
          <w:sz w:val="28"/>
          <w:szCs w:val="28"/>
        </w:rPr>
        <w:t>.</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12</w:t>
      </w:r>
      <w:r w:rsidR="00DC5A61" w:rsidRPr="007B7DBE">
        <w:rPr>
          <w:rFonts w:ascii="Times New Roman" w:hAnsi="Times New Roman"/>
          <w:b/>
          <w:sz w:val="28"/>
          <w:szCs w:val="28"/>
        </w:rPr>
        <w:t xml:space="preserve"> – VIGÊNCIA DO CONTRATO</w:t>
      </w:r>
      <w:r w:rsidR="00D42C59">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r w:rsidR="00A20D45" w:rsidRPr="007B7DBE">
        <w:rPr>
          <w:rFonts w:ascii="Times New Roman" w:hAnsi="Times New Roman"/>
          <w:b/>
          <w:sz w:val="28"/>
          <w:szCs w:val="28"/>
          <w:highlight w:val="yellow"/>
        </w:rPr>
        <w:t>(item obrigatório)</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 </w:t>
      </w:r>
      <w:r w:rsidR="001C72BE" w:rsidRPr="007B7DBE">
        <w:rPr>
          <w:rFonts w:ascii="Times New Roman" w:hAnsi="Times New Roman"/>
          <w:sz w:val="28"/>
          <w:szCs w:val="28"/>
        </w:rPr>
        <w:t xml:space="preserve">Comprovação de que a licitante fornece ou forneceu, sem restrição, materiais iguais ou semelhantes aos indicados no Objeto deste Termo de Referência. A comprovação será feita por meio de apresentação de no mínimo </w:t>
      </w:r>
      <w:proofErr w:type="gramStart"/>
      <w:r w:rsidR="001C72BE" w:rsidRPr="007B7DBE">
        <w:rPr>
          <w:rFonts w:ascii="Times New Roman" w:hAnsi="Times New Roman"/>
          <w:sz w:val="28"/>
          <w:szCs w:val="28"/>
        </w:rPr>
        <w:t>1</w:t>
      </w:r>
      <w:proofErr w:type="gramEnd"/>
      <w:r w:rsidR="001C72BE" w:rsidRPr="007B7DBE">
        <w:rPr>
          <w:rFonts w:ascii="Times New Roman" w:hAnsi="Times New Roman"/>
          <w:sz w:val="28"/>
          <w:szCs w:val="28"/>
        </w:rPr>
        <w:t xml:space="preserve"> (um) atestado, devidamente assinado, carimbado e em papel timbrado da empresa ou órgão adquirente, compatível com o objeto deste Termo de Referência</w:t>
      </w:r>
      <w:r w:rsidR="00310A73" w:rsidRPr="007B7DBE">
        <w:rPr>
          <w:rFonts w:ascii="Times New Roman" w:hAnsi="Times New Roman"/>
          <w:sz w:val="28"/>
          <w:szCs w:val="28"/>
        </w:rPr>
        <w:t>.</w:t>
      </w:r>
      <w:r w:rsidR="00501D50" w:rsidRPr="007B7DBE">
        <w:rPr>
          <w:rFonts w:ascii="Times New Roman" w:hAnsi="Times New Roman"/>
          <w:sz w:val="28"/>
          <w:szCs w:val="28"/>
        </w:rPr>
        <w:t xml:space="preserve"> </w:t>
      </w:r>
    </w:p>
    <w:p w:rsidR="001C72BE" w:rsidRPr="007B7DBE" w:rsidRDefault="001C72BE" w:rsidP="00437B1E">
      <w:pPr>
        <w:autoSpaceDE w:val="0"/>
        <w:autoSpaceDN w:val="0"/>
        <w:adjustRightInd w:val="0"/>
        <w:spacing w:after="0" w:line="240" w:lineRule="auto"/>
        <w:jc w:val="both"/>
        <w:rPr>
          <w:rFonts w:ascii="Times New Roman" w:hAnsi="Times New Roman"/>
          <w:b/>
          <w:sz w:val="28"/>
          <w:szCs w:val="28"/>
        </w:rPr>
      </w:pPr>
    </w:p>
    <w:p w:rsidR="001C72BE" w:rsidRPr="007B7DBE" w:rsidRDefault="00710162" w:rsidP="001C72B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lastRenderedPageBreak/>
        <w:t>13</w:t>
      </w:r>
      <w:r w:rsidR="001C72BE" w:rsidRPr="007B7DBE">
        <w:rPr>
          <w:rFonts w:ascii="Times New Roman" w:hAnsi="Times New Roman"/>
          <w:sz w:val="28"/>
          <w:szCs w:val="28"/>
        </w:rPr>
        <w:t xml:space="preserve">.2.  Alvará de Licença para Localização e Funcionamento. </w:t>
      </w:r>
      <w:r w:rsidR="001C72BE" w:rsidRPr="007B7DBE">
        <w:rPr>
          <w:rFonts w:ascii="Times New Roman" w:hAnsi="Times New Roman"/>
          <w:b/>
          <w:sz w:val="28"/>
          <w:szCs w:val="28"/>
          <w:highlight w:val="yellow"/>
        </w:rPr>
        <w:t>(item obrigatório)</w:t>
      </w:r>
    </w:p>
    <w:p w:rsidR="00501D50" w:rsidRPr="007B7DBE" w:rsidRDefault="00501D50" w:rsidP="00437B1E">
      <w:pPr>
        <w:autoSpaceDE w:val="0"/>
        <w:autoSpaceDN w:val="0"/>
        <w:adjustRightInd w:val="0"/>
        <w:spacing w:after="0" w:line="240" w:lineRule="auto"/>
        <w:jc w:val="both"/>
        <w:rPr>
          <w:rFonts w:ascii="Times New Roman" w:hAnsi="Times New Roman"/>
          <w:sz w:val="28"/>
          <w:szCs w:val="28"/>
        </w:rPr>
      </w:pPr>
    </w:p>
    <w:p w:rsidR="00501D50" w:rsidRPr="007B7DBE" w:rsidRDefault="00A20D45" w:rsidP="00437B1E">
      <w:pPr>
        <w:autoSpaceDE w:val="0"/>
        <w:autoSpaceDN w:val="0"/>
        <w:adjustRightInd w:val="0"/>
        <w:spacing w:after="0" w:line="240" w:lineRule="auto"/>
        <w:jc w:val="both"/>
        <w:rPr>
          <w:rFonts w:ascii="Times New Roman" w:hAnsi="Times New Roman"/>
          <w:sz w:val="28"/>
          <w:szCs w:val="28"/>
        </w:rPr>
      </w:pPr>
      <w:r w:rsidRPr="00A20D45">
        <w:rPr>
          <w:rFonts w:ascii="Times New Roman" w:hAnsi="Times New Roman"/>
          <w:sz w:val="28"/>
          <w:szCs w:val="28"/>
          <w:highlight w:val="yellow"/>
        </w:rPr>
        <w:t xml:space="preserve">(conforme necessidade da exigência de outra documentação relativa </w:t>
      </w:r>
      <w:proofErr w:type="gramStart"/>
      <w:r w:rsidRPr="00A20D45">
        <w:rPr>
          <w:rFonts w:ascii="Times New Roman" w:hAnsi="Times New Roman"/>
          <w:sz w:val="28"/>
          <w:szCs w:val="28"/>
          <w:highlight w:val="yellow"/>
        </w:rPr>
        <w:t>a</w:t>
      </w:r>
      <w:proofErr w:type="gramEnd"/>
      <w:r w:rsidRPr="00A20D45">
        <w:rPr>
          <w:rFonts w:ascii="Times New Roman" w:hAnsi="Times New Roman"/>
          <w:sz w:val="28"/>
          <w:szCs w:val="28"/>
          <w:highlight w:val="yellow"/>
        </w:rPr>
        <w:t xml:space="preserve"> qualificação técnica, está poderá ser exigida pela secretaria requisitante, observando o Art. 30, da Lei Federal nº 8.666/93)</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14</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15</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 xml:space="preserve">Multa  de 0,5% (meio por cento) por dia de atraso na entrega dos </w:t>
      </w:r>
      <w:r w:rsidRPr="007B7DBE">
        <w:rPr>
          <w:rFonts w:ascii="Times New Roman" w:hAnsi="Times New Roman"/>
          <w:color w:val="000000"/>
          <w:sz w:val="28"/>
          <w:szCs w:val="28"/>
        </w:rPr>
        <w:lastRenderedPageBreak/>
        <w:t>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Declaração de inidoneidade para licitar e contratar com  a 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Primeiro: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lastRenderedPageBreak/>
        <w:t>15</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"c" e "d" do subitem 15</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sidRPr="007B7DBE">
        <w:rPr>
          <w:rFonts w:ascii="Times New Roman" w:hAnsi="Times New Roman"/>
          <w:color w:val="000000"/>
          <w:sz w:val="28"/>
          <w:szCs w:val="28"/>
        </w:rPr>
        <w:t>eas "a", "b" e "c" do subitem 15</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Pr="007B7DBE">
        <w:rPr>
          <w:rFonts w:ascii="Times New Roman" w:hAnsi="Times New Roman"/>
          <w:color w:val="000000"/>
          <w:sz w:val="28"/>
          <w:szCs w:val="28"/>
        </w:rPr>
        <w:t>ista na alínea "d" do subitem 15</w:t>
      </w:r>
      <w:r w:rsidR="00B74D23" w:rsidRPr="007B7DBE">
        <w:rPr>
          <w:rFonts w:ascii="Times New Roman" w:hAnsi="Times New Roman"/>
          <w:color w:val="000000"/>
          <w:sz w:val="28"/>
          <w:szCs w:val="28"/>
        </w:rPr>
        <w:t>.2 é de competência do Sr. Prefeito Municipal, facultada a defesa do interessado no respectivo 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Pr="007B7DBE">
        <w:rPr>
          <w:rFonts w:ascii="Times New Roman" w:hAnsi="Times New Roman"/>
          <w:color w:val="000000"/>
          <w:sz w:val="28"/>
          <w:szCs w:val="28"/>
        </w:rPr>
        <w:t>stas nas "c" e "d" do subitem 15</w:t>
      </w:r>
      <w:r w:rsidR="00B74D23" w:rsidRPr="007B7DBE">
        <w:rPr>
          <w:rFonts w:ascii="Times New Roman" w:hAnsi="Times New Roman"/>
          <w:color w:val="000000"/>
          <w:sz w:val="28"/>
          <w:szCs w:val="28"/>
        </w:rPr>
        <w:t>.2 poderão também 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lastRenderedPageBreak/>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 xml:space="preserve">Aprovo o presente Termo de Referência, bem como estou de acordo com todas as informações prestadas nas declarações e assinaturas </w:t>
      </w:r>
      <w:r w:rsidRPr="007B7DBE">
        <w:rPr>
          <w:rFonts w:ascii="Times New Roman" w:hAnsi="Times New Roman"/>
          <w:sz w:val="28"/>
          <w:szCs w:val="28"/>
        </w:rPr>
        <w:lastRenderedPageBreak/>
        <w:t>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D7" w:rsidRDefault="00A413D7" w:rsidP="006D7EBE">
      <w:pPr>
        <w:spacing w:after="0" w:line="240" w:lineRule="auto"/>
      </w:pPr>
      <w:r>
        <w:separator/>
      </w:r>
    </w:p>
  </w:endnote>
  <w:endnote w:type="continuationSeparator" w:id="0">
    <w:p w:rsidR="00A413D7" w:rsidRDefault="00A413D7"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D7" w:rsidRDefault="00A413D7" w:rsidP="006D7EBE">
      <w:pPr>
        <w:spacing w:after="0" w:line="240" w:lineRule="auto"/>
      </w:pPr>
      <w:r>
        <w:separator/>
      </w:r>
    </w:p>
  </w:footnote>
  <w:footnote w:type="continuationSeparator" w:id="0">
    <w:p w:rsidR="00A413D7" w:rsidRDefault="00A413D7"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D6E44"/>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4014"/>
    <w:rsid w:val="00453338"/>
    <w:rsid w:val="00501D50"/>
    <w:rsid w:val="00534BE6"/>
    <w:rsid w:val="00553AB8"/>
    <w:rsid w:val="00566C95"/>
    <w:rsid w:val="005A1564"/>
    <w:rsid w:val="005A5E58"/>
    <w:rsid w:val="006122C5"/>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C3D88"/>
    <w:rsid w:val="008C573F"/>
    <w:rsid w:val="008E4207"/>
    <w:rsid w:val="0090345D"/>
    <w:rsid w:val="00903CF1"/>
    <w:rsid w:val="0090653B"/>
    <w:rsid w:val="00923AF1"/>
    <w:rsid w:val="009968A7"/>
    <w:rsid w:val="00996F72"/>
    <w:rsid w:val="009B7817"/>
    <w:rsid w:val="00A20D45"/>
    <w:rsid w:val="00A413D7"/>
    <w:rsid w:val="00A4745E"/>
    <w:rsid w:val="00AC3B2F"/>
    <w:rsid w:val="00B30EF9"/>
    <w:rsid w:val="00B32508"/>
    <w:rsid w:val="00B349F8"/>
    <w:rsid w:val="00B42026"/>
    <w:rsid w:val="00B74D23"/>
    <w:rsid w:val="00BE00D4"/>
    <w:rsid w:val="00C00D5D"/>
    <w:rsid w:val="00C3415A"/>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328F4"/>
    <w:rsid w:val="00F62BE7"/>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E7BF-69C8-418F-809B-DFFDA967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2782</Words>
  <Characters>15028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dcterms:created xsi:type="dcterms:W3CDTF">2019-03-22T13:23:00Z</dcterms:created>
  <dcterms:modified xsi:type="dcterms:W3CDTF">2019-03-22T18:56:00Z</dcterms:modified>
</cp:coreProperties>
</file>