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LICITAÇÃO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 xml:space="preserve">Memorando </w:t>
            </w: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Mínimo de 03 (três) orçamentos (assinados pelo SERVIDOR responsável da pesquisa)</w:t>
            </w: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Borders>
              <w:top w:val="single" w:color="auto" w:sz="4" w:space="0"/>
              <w:left w:val="single" w:color="auto" w:sz="4" w:space="0"/>
              <w:bottom w:val="single" w:color="auto" w:sz="4" w:space="0"/>
              <w:right w:val="single" w:color="auto" w:sz="12" w:space="0"/>
            </w:tcBorders>
          </w:tcPr>
          <w:p>
            <w:pPr>
              <w:tabs>
                <w:tab w:val="left" w:pos="3160"/>
              </w:tabs>
            </w:pPr>
            <w:r>
              <w:t>Caso for por Convênio ou Emenda Parlamentar, anexar todos os documentos (Convênio, Publicação, Plano de Trabalho e outros)</w:t>
            </w:r>
          </w:p>
        </w:tc>
        <w:tc>
          <w:tcPr>
            <w:tcW w:w="873" w:type="dxa"/>
            <w:tcBorders>
              <w:top w:val="single" w:color="auto" w:sz="4" w:space="0"/>
              <w:left w:val="single" w:color="auto" w:sz="12" w:space="0"/>
              <w:bottom w:val="single" w:color="auto" w:sz="4" w:space="0"/>
              <w:right w:val="single" w:color="auto" w:sz="12" w:space="0"/>
            </w:tcBorders>
          </w:tcPr>
          <w:p>
            <w:pPr>
              <w:tabs>
                <w:tab w:val="left" w:pos="3160"/>
              </w:tabs>
            </w:pPr>
          </w:p>
        </w:tc>
        <w:tc>
          <w:tcPr>
            <w:tcW w:w="702" w:type="dxa"/>
            <w:tcBorders>
              <w:top w:val="single" w:color="auto" w:sz="4" w:space="0"/>
              <w:left w:val="single" w:color="auto" w:sz="12" w:space="0"/>
              <w:bottom w:val="single" w:color="auto" w:sz="4" w:space="0"/>
              <w:right w:val="single" w:color="auto" w:sz="4" w:space="0"/>
            </w:tcBorders>
          </w:tcPr>
          <w:p>
            <w:pPr>
              <w:tabs>
                <w:tab w:val="left" w:pos="3160"/>
              </w:tabs>
            </w:pPr>
          </w:p>
        </w:tc>
      </w:tr>
    </w:tbl>
    <w:p/>
    <w:p>
      <w:r>
        <w:t>Santa Teresa, -- de ---- de 20—</w:t>
      </w:r>
    </w:p>
    <w:p/>
    <w:p>
      <w:pPr>
        <w:jc w:val="center"/>
      </w:pPr>
      <w:r>
        <w:t>___________________________________________</w:t>
      </w:r>
    </w:p>
    <w:p>
      <w:pPr>
        <w:jc w:val="center"/>
      </w:pPr>
      <w:r>
        <w:t>Responsável</w:t>
      </w: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TERMO DE REFERÊNCIA – PADRONIZADO</w:t>
      </w:r>
    </w:p>
    <w:p>
      <w:pPr>
        <w:pStyle w:val="9"/>
        <w:ind w:left="0"/>
        <w:jc w:val="center"/>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(Aquisição Pregão)</w:t>
      </w:r>
    </w:p>
    <w:p>
      <w:pPr>
        <w:pStyle w:val="9"/>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 – SECRETARIA REQUISITANTE</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Pr>
          <w:rFonts w:ascii="Times New Roman" w:hAnsi="Times New Roman"/>
          <w:b/>
          <w:sz w:val="28"/>
          <w:szCs w:val="28"/>
          <w:highlight w:val="yellow"/>
        </w:rPr>
        <w:t>de ------</w:t>
      </w: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2.1 Contratação de empresa para fornecimento de (descrever) para atender a demanda da Secretaria Municipal de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3.1. A contratação de empresa para fornecimento de (descrever) atenderá às necessidades da Secretaria Municipal de -----.</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3.2. Deverá ser Justificado de forma convincente o porquê da contratação.</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3.3. A reposição se faz necessária em virtude do baixo estoque que ora se observa devido ao consumo regular.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3.4. Informar se existe, ou não, Ata de Registro de Preço ou Contrato vigente. Caso existir deverá ser justificado a nova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4.1 Será realizada licitação, na modalidade de PREGÃO, conforme rege o Decreto Municipal nº 265/2018.</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4.2 Os produtos foram divididos em lotes, conforme justificativas abaixo:</w:t>
      </w:r>
    </w:p>
    <w:p>
      <w:pPr>
        <w:autoSpaceDE w:val="0"/>
        <w:autoSpaceDN w:val="0"/>
        <w:adjustRightInd w:val="0"/>
        <w:spacing w:after="0" w:line="240" w:lineRule="auto"/>
        <w:ind w:firstLine="708"/>
        <w:jc w:val="both"/>
        <w:rPr>
          <w:rFonts w:ascii="Times New Roman" w:hAnsi="Times New Roman"/>
          <w:sz w:val="28"/>
          <w:szCs w:val="28"/>
          <w:highlight w:val="yellow"/>
        </w:rPr>
      </w:pPr>
      <w:r>
        <w:rPr>
          <w:rFonts w:ascii="Times New Roman" w:hAnsi="Times New Roman"/>
          <w:sz w:val="28"/>
          <w:szCs w:val="28"/>
          <w:highlight w:val="yellow"/>
        </w:rPr>
        <w:t xml:space="preserve">4.2.1 buscando atender às especificidades dos diversos ramos de atividades; </w:t>
      </w:r>
    </w:p>
    <w:p>
      <w:pPr>
        <w:autoSpaceDE w:val="0"/>
        <w:autoSpaceDN w:val="0"/>
        <w:adjustRightInd w:val="0"/>
        <w:spacing w:after="0" w:line="240" w:lineRule="auto"/>
        <w:ind w:firstLine="708"/>
        <w:jc w:val="both"/>
        <w:rPr>
          <w:rFonts w:ascii="Times New Roman" w:hAnsi="Times New Roman"/>
          <w:sz w:val="28"/>
          <w:szCs w:val="28"/>
          <w:highlight w:val="yellow"/>
        </w:rPr>
      </w:pPr>
      <w:r>
        <w:rPr>
          <w:rFonts w:ascii="Times New Roman" w:hAnsi="Times New Roman"/>
          <w:sz w:val="28"/>
          <w:szCs w:val="28"/>
          <w:highlight w:val="yellow"/>
        </w:rPr>
        <w:t xml:space="preserve">4.2.2 Incluímos num mesmo procedimento itens classificados como ------ À DEFINIR ---------- </w:t>
      </w:r>
      <w:r>
        <w:rPr>
          <w:rFonts w:ascii="Times New Roman" w:hAnsi="Times New Roman"/>
          <w:highlight w:val="yellow"/>
        </w:rPr>
        <w:t>(Material de Expediente, Material Limpeza, Gêneros Alimentícios, Medicamentos)</w:t>
      </w:r>
      <w:r>
        <w:rPr>
          <w:rFonts w:ascii="Times New Roman" w:hAnsi="Times New Roman"/>
          <w:sz w:val="28"/>
          <w:szCs w:val="28"/>
          <w:highlight w:val="yellow"/>
        </w:rPr>
        <w:t xml:space="preserve">, porém divididos em lotes, considerando que esses itens são comercializados pela maioria das empresas que nos enviam orçamentos prévios; </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ab/>
      </w:r>
      <w:r>
        <w:rPr>
          <w:rFonts w:ascii="Times New Roman" w:hAnsi="Times New Roman"/>
          <w:sz w:val="28"/>
          <w:szCs w:val="28"/>
          <w:highlight w:val="yellow"/>
        </w:rPr>
        <w:t>4.2.3 O agrupamento também visou tornar mais eficiente o processo de aquisição, para evitar emissão de empenhos com valores ínfimos, e assim, proporcionar um processo mais eficaz e econômico. Cabe lembrar que o agrupamento dos itens, com valores pequenos, torna o preço mais atraente e compensatório em termos logísticos ao fornecedor, fomenta a disputa e amplia o número de interessados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DO LOCAL E DA ENTREGA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lang w:val="zh-CN"/>
        </w:rPr>
        <w:t xml:space="preserve">O Contratado procederá à entrega dos produtos no </w:t>
      </w:r>
      <w:r>
        <w:rPr>
          <w:rFonts w:ascii="Times New Roman" w:hAnsi="Times New Roman"/>
          <w:sz w:val="28"/>
          <w:szCs w:val="28"/>
          <w:highlight w:val="yellow"/>
          <w:lang w:val="zh-CN"/>
        </w:rPr>
        <w:t>Setor de Almoxarifado (Rua Darly Nerty Vervloet, 446, Centro, Santa Teresa</w:t>
      </w:r>
      <w:r>
        <w:rPr>
          <w:rFonts w:ascii="Times New Roman" w:hAnsi="Times New Roman"/>
          <w:sz w:val="28"/>
          <w:szCs w:val="28"/>
          <w:highlight w:val="yellow"/>
        </w:rPr>
        <w:t>-ES</w:t>
      </w:r>
      <w:r>
        <w:rPr>
          <w:rFonts w:ascii="Times New Roman" w:hAnsi="Times New Roman"/>
          <w:sz w:val="28"/>
          <w:szCs w:val="28"/>
          <w:highlight w:val="yellow"/>
          <w:lang w:val="zh-CN"/>
        </w:rPr>
        <w:t>)</w:t>
      </w:r>
      <w:r>
        <w:rPr>
          <w:rFonts w:ascii="Times New Roman" w:hAnsi="Times New Roman"/>
          <w:sz w:val="28"/>
          <w:szCs w:val="28"/>
        </w:rPr>
        <w:t xml:space="preserve">, Telefone (27) 3259-3900, dentro de seu horário de funcionamento: 08 as 11 horas e de 12:30 as 15:30 horas, </w:t>
      </w:r>
      <w:r>
        <w:rPr>
          <w:rFonts w:ascii="Times New Roman" w:hAnsi="Times New Roman"/>
          <w:sz w:val="28"/>
          <w:szCs w:val="28"/>
          <w:highlight w:val="yellow"/>
        </w:rPr>
        <w:t xml:space="preserve">em </w:t>
      </w:r>
      <w:r>
        <w:rPr>
          <w:rFonts w:ascii="Times New Roman" w:hAnsi="Times New Roman"/>
          <w:sz w:val="28"/>
          <w:szCs w:val="28"/>
          <w:highlight w:val="yellow"/>
          <w:lang w:val="zh-CN"/>
        </w:rPr>
        <w:t>até 10 (dez) dias</w:t>
      </w:r>
      <w:r>
        <w:rPr>
          <w:rFonts w:ascii="Times New Roman" w:hAnsi="Times New Roman"/>
          <w:sz w:val="28"/>
          <w:szCs w:val="28"/>
          <w:lang w:val="zh-CN"/>
        </w:rPr>
        <w:t xml:space="preserve"> </w:t>
      </w:r>
      <w:r>
        <w:rPr>
          <w:rFonts w:ascii="Times New Roman" w:hAnsi="Times New Roman"/>
          <w:sz w:val="28"/>
          <w:szCs w:val="28"/>
        </w:rPr>
        <w:t xml:space="preserve">consecutivos </w:t>
      </w:r>
      <w:r>
        <w:rPr>
          <w:rFonts w:ascii="Times New Roman" w:hAnsi="Times New Roman"/>
          <w:sz w:val="28"/>
          <w:szCs w:val="28"/>
          <w:lang w:val="zh-CN"/>
        </w:rPr>
        <w:t>após recebimento da Autorização de Fornecimento</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5.2 Todo e qualquer ônus decorrente da entrega do objeto licitado, inclusive frete, será de inteira responsabilidade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5.5 </w:t>
      </w:r>
      <w:r>
        <w:rPr>
          <w:rFonts w:ascii="Times New Roman" w:hAnsi="Times New Roman"/>
          <w:sz w:val="28"/>
          <w:szCs w:val="28"/>
          <w:lang w:val="zh-CN"/>
        </w:rPr>
        <w:t>A aceitação é condição essencial para o RECEBIMENTO DEFINITIVO do material, que será realizado exclusivamente pelo fiscal do contrato, através da aposição, data e assinatura do carimbo de “Atesto” na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5.6 Caso seja verificada qualquer incompatibilidade, ou apresentarem defeitos tais como: sinais aparentes de que não se tratam de materiais novos, de primeiro uso, dentre outros que possam identificar qualidade incompatível com a especificada 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5.7 O recebimento definitivo não excluirá a responsabilidade da Contratada pela perfeita qualidade do material fornecido, cabendo-lhe sanar quaisquer irregularidades detectadas quando da utilização desse material.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5.8 A Nota Fiscal deverá ser emitida pelo mesmo estabelecimento habilitado no procedimento licitatório e deverá estar em conformidade com a unidade de fornecimento indicada na proposta do fornecedor e da Nota de Empenho.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5.9 </w:t>
      </w:r>
      <w:r>
        <w:rPr>
          <w:rFonts w:ascii="Times New Roman" w:hAnsi="Times New Roman"/>
          <w:bCs/>
          <w:sz w:val="28"/>
          <w:szCs w:val="28"/>
        </w:rPr>
        <w:t>Os materiais deverão ser entregues devidamente protegidos e embalados adequadamente contra danos de transporte e acompanhados das respectivas notas fiscais de fornecimento.</w:t>
      </w:r>
    </w:p>
    <w:p>
      <w:pPr>
        <w:autoSpaceDE w:val="0"/>
        <w:autoSpaceDN w:val="0"/>
        <w:adjustRightInd w:val="0"/>
        <w:spacing w:after="0" w:line="240" w:lineRule="auto"/>
        <w:jc w:val="both"/>
        <w:rPr>
          <w:rFonts w:ascii="Times New Roman" w:hAnsi="Times New Roman"/>
          <w:bCs/>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GARANTIAS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6.1 Fornecer garantia mínima de </w:t>
      </w:r>
      <w:r>
        <w:rPr>
          <w:rFonts w:ascii="Times New Roman" w:hAnsi="Times New Roman"/>
          <w:sz w:val="28"/>
          <w:szCs w:val="28"/>
          <w:highlight w:val="yellow"/>
        </w:rPr>
        <w:t>-- (---) meses</w:t>
      </w:r>
      <w:r>
        <w:rPr>
          <w:rFonts w:ascii="Times New Roman" w:hAnsi="Times New Roman"/>
          <w:sz w:val="28"/>
          <w:szCs w:val="28"/>
        </w:rPr>
        <w:t xml:space="preserve"> a partir do recebimento do material. </w:t>
      </w:r>
      <w:r>
        <w:rPr>
          <w:rFonts w:ascii="Times New Roman" w:hAnsi="Times New Roman"/>
          <w:sz w:val="28"/>
          <w:szCs w:val="28"/>
          <w:highlight w:val="yellow"/>
        </w:rPr>
        <w:t>(caso tenha mais de um item e o prazo de garantia for diferente, deverá ser especificado o prazo de cada um)</w:t>
      </w:r>
    </w:p>
    <w:p>
      <w:pPr>
        <w:pStyle w:val="9"/>
        <w:autoSpaceDE w:val="0"/>
        <w:autoSpaceDN w:val="0"/>
        <w:adjustRightInd w:val="0"/>
        <w:spacing w:after="0" w:line="240" w:lineRule="auto"/>
        <w:ind w:left="0"/>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 Durante a garantia a empresa Contratada estará obrigado 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6.2.1. Substituir o material defeituoso,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6.2.2. Trocar o material no prazo de 10 (dez) dias corridos, a contar da data de comunicação da CONTRATANTE,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OBRIGAÇÕES DA CONTRATADA  </w:t>
      </w:r>
      <w:r>
        <w:rPr>
          <w:rFonts w:ascii="Times New Roman" w:hAnsi="Times New Roman"/>
          <w:b/>
          <w:sz w:val="28"/>
          <w:szCs w:val="28"/>
          <w:highlight w:val="yellow"/>
        </w:rPr>
        <w:t>(Itens 7.1 a 7.11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 Efetuar a entrega dos bens em perfeitas condições, no prazo e local indicado pela Administração, em estrita observância das especificações do Edital e da proposta, acompanhado da respectiva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7.2. Atender prontamente a quaisquer exigências da Administração, inerentes ao objeto da presente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7.3. Comunicar à Administração, no prazo máximo de 24 (vinte e quatro) horas que antecede a data da entrega, os motivos que impossibilitem o cumprimento do prazo previsto, com a devida comprovação;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7.4. Manter, durante toda a execução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7.5. Não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7.6. Responsabilizar-se pelas despesas dos tributos, encargos trabalhistas, previdenciários, fiscais, comerciais, taxas, fretes, seguros, deslocamento de pessoal, prestação de garantia e quaisquer outras que incidam ou venham a incidir na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7.7. Não promover nenhuma alteração do FORNECIMENTO ou especificações do bem, sem a prévia aprovação, por escrito, do Município;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7.8. Responder, entre outros, por todos os encargos referentes ao uso na fabricação do bem, de marcas e patentes sujeitas a "royalties" ou encargos semelhantes, usadas por ela para atendimento ao FORNECIMENTO ora contratado;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7.9. Responder, na forma da lei, por perdas e danos eventualmente causados ao Município ou a terceiros.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0" w:name="_Hlk520963627"/>
      <w:r>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7.10.1. Por acordo entre as partes as supressões poderão ser superiores ao limite de 25% estabelecido no item anterior.</w:t>
      </w:r>
    </w:p>
    <w:bookmarkEnd w:id="0"/>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7.11 Observar as normas legais de segurança que está sujeita a atividade de distribuição dos produtos contratados.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OBRIGAÇÕES DA CONTRATANTE </w:t>
      </w:r>
      <w:r>
        <w:rPr>
          <w:rFonts w:ascii="Times New Roman" w:hAnsi="Times New Roman"/>
          <w:b/>
          <w:sz w:val="28"/>
          <w:szCs w:val="28"/>
          <w:highlight w:val="yellow"/>
        </w:rPr>
        <w:t>(Itens 8.1 a 8.6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8.1. Receber provisoriamente o material, disponibilizando local, data e horário;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8.2. Verificar minuciosamente, no prazo fixado, a conformidade dos bens recebidos provisoriamente com as especificações constantes do Edital e da proposta, para fins de aceitação e recebimento definitivos;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8.3. Acompanhar e fiscalizar o cumprimento das obrigações da Contratada, através de servidor especialmente designado;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8.4. Efetuar o pagamento devido à Contratada, na forma estabelecida neste Termo, após a emissão e aceitação da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8.5. Oferecer todas as condições e informações necessárias para que a Contratada possa fornecer os produtos dentro das especificações exigidas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sz w:val="28"/>
          <w:szCs w:val="28"/>
        </w:rPr>
        <w:t xml:space="preserve">9.1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informar a validade, que não poderá ser inferior a 60 (sessenta) dias.</w:t>
      </w:r>
    </w:p>
    <w:bookmarkEnd w:id="1"/>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10.1. A fiscalização da contratação será exercida pelo servidor </w:t>
      </w:r>
      <w:r>
        <w:rPr>
          <w:rFonts w:ascii="Times New Roman" w:hAnsi="Times New Roman"/>
          <w:b/>
          <w:sz w:val="28"/>
          <w:szCs w:val="28"/>
          <w:highlight w:val="yellow"/>
        </w:rPr>
        <w:t>xxxxxxxxxx,</w:t>
      </w:r>
      <w:r>
        <w:rPr>
          <w:rFonts w:ascii="Times New Roman" w:hAnsi="Times New Roman"/>
          <w:sz w:val="28"/>
          <w:szCs w:val="28"/>
        </w:rPr>
        <w:t xml:space="preserve">   representante da Administração, ao qual competirá dirimir as dúvidas que surgirem no curso da execução do contrato, e de tudo dará ciência à Administração;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10.2.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Pr>
          <w:rFonts w:ascii="Times New Roman" w:hAnsi="Times New Roman"/>
          <w:bCs/>
          <w:iCs/>
          <w:sz w:val="28"/>
          <w:szCs w:val="28"/>
        </w:rPr>
        <w:t>Administração</w:t>
      </w:r>
      <w:r>
        <w:rPr>
          <w:rFonts w:ascii="Times New Roman" w:hAnsi="Times New Roman"/>
          <w:sz w:val="28"/>
          <w:szCs w:val="28"/>
        </w:rPr>
        <w:t xml:space="preserve"> ou de seus agentes e prepostos, de conformidade com o art.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10.3.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11.1. Os pagamentos referentes às Notas de Empenho dos materiais adquiridos serão efetuados em até 30 (trinta) dias após a apresentação das respectivas notas fiscais, devidamente atestadas pelo fiscal designado para 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11.6.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11.7.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11.8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VIGÊNCIA DO CONTRATO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 O contrato terá inicio a partir do recebimento da Autorização de Fornecimento e terá duração correspondente ao fornecimento de todos os bens adquiridos, não podendo ultrapassar o respectivo crédito orçamentário.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QUALIFICAÇÃO TÉCNICA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t xml:space="preserve">13.1 - Comprovação de que a licitante fornece ou forneceu, sem restrição, materiais iguais ou semelhantes aos indicados no Objeto deste Termo de Referência. A comprovação será feita por meio de apresentação de no mínimo 1 (um) atestado, devidamente assinado, carimbado e em papel timbrado da empresa ou órgão adquirente, compatível com o objeto deste Termo de Referência.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t xml:space="preserve">13.2.  Alvará de Licença para Localização e Funcionamento.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DA DOTAÇÃO ORÇAMENTÁRIA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 xml:space="preserve">14.1. </w:t>
      </w:r>
      <w:r>
        <w:rPr>
          <w:rFonts w:ascii="Times New Roman" w:hAnsi="Times New Roman"/>
          <w:color w:val="000000"/>
          <w:sz w:val="28"/>
          <w:szCs w:val="28"/>
          <w:highlight w:val="yellow"/>
        </w:rPr>
        <w:t>Os recursos financeiros para pagamento dos encargos resultantes deste instrumento correrão através da seguinte dotação orçamentária, (quando for convênio, informar o número e o órgão concedente)</w:t>
      </w:r>
      <w:r>
        <w:rPr>
          <w:rFonts w:ascii="Times New Roman" w:hAnsi="Times New Roman"/>
          <w:sz w:val="28"/>
          <w:szCs w:val="28"/>
          <w:highlight w:val="yellow"/>
        </w:rPr>
        <w:t>.</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Elemento de Despesas: 00000000000– Material de Consumo;</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15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III - 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"c",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CONSIDERAÇÕES FINAIS </w:t>
      </w:r>
      <w:r>
        <w:rPr>
          <w:rFonts w:ascii="Times New Roman" w:hAnsi="Times New Roman"/>
          <w:b/>
          <w:sz w:val="28"/>
          <w:szCs w:val="28"/>
          <w:highlight w:val="yellow"/>
        </w:rPr>
        <w:t>(Itens 16.1 a 16.2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16.1.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16.2.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sectPr>
      <w:headerReference r:id="rId5" w:type="default"/>
      <w:footerReference r:id="rId6" w:type="default"/>
      <w:pgSz w:w="11906" w:h="16838"/>
      <w:pgMar w:top="2410"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b/>
        <w:sz w:val="28"/>
      </w:rPr>
    </w:pPr>
    <w:bookmarkStart w:id="2" w:name="_GoBack"/>
    <w:r>
      <w:rPr>
        <w:lang w:eastAsia="pt-BR"/>
      </w:rPr>
      <w:drawing>
        <wp:anchor distT="0" distB="0" distL="114300" distR="114300" simplePos="0" relativeHeight="251659264" behindDoc="1" locked="0" layoutInCell="1" allowOverlap="1">
          <wp:simplePos x="0" y="0"/>
          <wp:positionH relativeFrom="column">
            <wp:posOffset>-594995</wp:posOffset>
          </wp:positionH>
          <wp:positionV relativeFrom="paragraph">
            <wp:posOffset>5715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2"/>
    <w:r>
      <w:rPr>
        <w:b/>
        <w:sz w:val="28"/>
      </w:rPr>
      <w:tab/>
    </w:r>
    <w:r>
      <w:rPr>
        <w:b/>
        <w:sz w:val="28"/>
      </w:rPr>
      <w:tab/>
    </w:r>
  </w:p>
  <w:p>
    <w:pPr>
      <w:pStyle w:val="6"/>
      <w:jc w:val="center"/>
      <w:rPr>
        <w:b/>
        <w:sz w:val="28"/>
      </w:rPr>
    </w:pPr>
  </w:p>
  <w:p>
    <w:pPr>
      <w:pStyle w:val="6"/>
      <w:jc w:val="center"/>
      <w:rPr>
        <w:b/>
        <w:sz w:val="28"/>
      </w:rPr>
    </w:pPr>
    <w:r>
      <w:rPr>
        <w:b/>
        <w:sz w:val="28"/>
      </w:rPr>
      <w:t>PREFEITURA MUNICIPAL DE SANTA TERESA</w:t>
    </w:r>
  </w:p>
  <w:p>
    <w:pPr>
      <w:pStyle w:val="6"/>
      <w:jc w:val="center"/>
      <w:rPr>
        <w:b/>
        <w:sz w:val="28"/>
      </w:rPr>
    </w:pPr>
    <w:r>
      <w:rPr>
        <w:b/>
        <w:sz w:val="28"/>
      </w:rPr>
      <w:t>ESTADO DO ESPÍRITO SANTO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13E23"/>
    <w:rsid w:val="00027A7A"/>
    <w:rsid w:val="000311E1"/>
    <w:rsid w:val="000348C6"/>
    <w:rsid w:val="00042347"/>
    <w:rsid w:val="0005735D"/>
    <w:rsid w:val="000636F2"/>
    <w:rsid w:val="000709D0"/>
    <w:rsid w:val="000A499A"/>
    <w:rsid w:val="000F194B"/>
    <w:rsid w:val="000F5D20"/>
    <w:rsid w:val="001372E3"/>
    <w:rsid w:val="00157DCF"/>
    <w:rsid w:val="0016763D"/>
    <w:rsid w:val="001768F8"/>
    <w:rsid w:val="00186894"/>
    <w:rsid w:val="001978A4"/>
    <w:rsid w:val="001A2086"/>
    <w:rsid w:val="001C4D76"/>
    <w:rsid w:val="001C72BE"/>
    <w:rsid w:val="001D3B34"/>
    <w:rsid w:val="001D759C"/>
    <w:rsid w:val="001F1D93"/>
    <w:rsid w:val="00224661"/>
    <w:rsid w:val="0023012B"/>
    <w:rsid w:val="00264D4F"/>
    <w:rsid w:val="00281F21"/>
    <w:rsid w:val="002A1444"/>
    <w:rsid w:val="002A7D37"/>
    <w:rsid w:val="002D049D"/>
    <w:rsid w:val="002D6E44"/>
    <w:rsid w:val="002F0C63"/>
    <w:rsid w:val="00304D4D"/>
    <w:rsid w:val="00306CAA"/>
    <w:rsid w:val="00310A73"/>
    <w:rsid w:val="0031670B"/>
    <w:rsid w:val="00320B6F"/>
    <w:rsid w:val="003375FE"/>
    <w:rsid w:val="00347542"/>
    <w:rsid w:val="00354FA9"/>
    <w:rsid w:val="00370EF5"/>
    <w:rsid w:val="0038122E"/>
    <w:rsid w:val="00386D69"/>
    <w:rsid w:val="0039204E"/>
    <w:rsid w:val="00393491"/>
    <w:rsid w:val="003C3B34"/>
    <w:rsid w:val="004241A7"/>
    <w:rsid w:val="00430845"/>
    <w:rsid w:val="00437B1E"/>
    <w:rsid w:val="00441DFC"/>
    <w:rsid w:val="00444014"/>
    <w:rsid w:val="00453338"/>
    <w:rsid w:val="004B78B0"/>
    <w:rsid w:val="004F7F77"/>
    <w:rsid w:val="00501D50"/>
    <w:rsid w:val="00534BE6"/>
    <w:rsid w:val="00534FAB"/>
    <w:rsid w:val="00553AB8"/>
    <w:rsid w:val="00566C95"/>
    <w:rsid w:val="00580F0C"/>
    <w:rsid w:val="0058655F"/>
    <w:rsid w:val="005A1564"/>
    <w:rsid w:val="005A5E58"/>
    <w:rsid w:val="006122C5"/>
    <w:rsid w:val="006350CB"/>
    <w:rsid w:val="00656980"/>
    <w:rsid w:val="00656FE3"/>
    <w:rsid w:val="00695A7A"/>
    <w:rsid w:val="006A5358"/>
    <w:rsid w:val="006B2DBD"/>
    <w:rsid w:val="006B496B"/>
    <w:rsid w:val="006C4658"/>
    <w:rsid w:val="006D7EBE"/>
    <w:rsid w:val="0070398A"/>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666C1"/>
    <w:rsid w:val="00866DDB"/>
    <w:rsid w:val="0087497F"/>
    <w:rsid w:val="008943B0"/>
    <w:rsid w:val="008C1B0C"/>
    <w:rsid w:val="008C3D88"/>
    <w:rsid w:val="008C573F"/>
    <w:rsid w:val="008E4207"/>
    <w:rsid w:val="0090345D"/>
    <w:rsid w:val="00903CF1"/>
    <w:rsid w:val="0090653B"/>
    <w:rsid w:val="00923AF1"/>
    <w:rsid w:val="009968A7"/>
    <w:rsid w:val="00996F72"/>
    <w:rsid w:val="009B7817"/>
    <w:rsid w:val="009E16F9"/>
    <w:rsid w:val="00A20D45"/>
    <w:rsid w:val="00A277CC"/>
    <w:rsid w:val="00A413D7"/>
    <w:rsid w:val="00A4745E"/>
    <w:rsid w:val="00AC3B2F"/>
    <w:rsid w:val="00B30EF9"/>
    <w:rsid w:val="00B32508"/>
    <w:rsid w:val="00B349F8"/>
    <w:rsid w:val="00B42026"/>
    <w:rsid w:val="00B74D23"/>
    <w:rsid w:val="00BE00D4"/>
    <w:rsid w:val="00C00D5D"/>
    <w:rsid w:val="00C3415A"/>
    <w:rsid w:val="00C7776F"/>
    <w:rsid w:val="00CE6056"/>
    <w:rsid w:val="00D42C59"/>
    <w:rsid w:val="00D55C73"/>
    <w:rsid w:val="00D64A2D"/>
    <w:rsid w:val="00D7229A"/>
    <w:rsid w:val="00D87A71"/>
    <w:rsid w:val="00D924D4"/>
    <w:rsid w:val="00DB1F13"/>
    <w:rsid w:val="00DB3817"/>
    <w:rsid w:val="00DB74F5"/>
    <w:rsid w:val="00DC5A61"/>
    <w:rsid w:val="00DE3520"/>
    <w:rsid w:val="00DF129F"/>
    <w:rsid w:val="00E34D45"/>
    <w:rsid w:val="00E55A99"/>
    <w:rsid w:val="00E809E9"/>
    <w:rsid w:val="00EA2886"/>
    <w:rsid w:val="00EB3C62"/>
    <w:rsid w:val="00EC61E3"/>
    <w:rsid w:val="00ED3230"/>
    <w:rsid w:val="00ED4A7A"/>
    <w:rsid w:val="00EE1602"/>
    <w:rsid w:val="00EE77D7"/>
    <w:rsid w:val="00EF6E56"/>
    <w:rsid w:val="00F00DA9"/>
    <w:rsid w:val="00F328F4"/>
    <w:rsid w:val="00F45B50"/>
    <w:rsid w:val="00F62BE7"/>
    <w:rsid w:val="00F636B1"/>
    <w:rsid w:val="00F72946"/>
    <w:rsid w:val="00F75CCE"/>
    <w:rsid w:val="00F77162"/>
    <w:rsid w:val="00F80C1C"/>
    <w:rsid w:val="00FB319F"/>
    <w:rsid w:val="00FC66AC"/>
    <w:rsid w:val="00FD72A3"/>
    <w:rsid w:val="00FF5B8E"/>
    <w:rsid w:val="04365B4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22"/>
    <w:rPr>
      <w:b/>
      <w:bCs/>
    </w:rPr>
  </w:style>
  <w:style w:type="paragraph" w:styleId="5">
    <w:name w:val="Body Text 2"/>
    <w:basedOn w:val="1"/>
    <w:link w:val="13"/>
    <w:semiHidden/>
    <w:unhideWhenUsed/>
    <w:uiPriority w:val="99"/>
    <w:pPr>
      <w:spacing w:after="120" w:line="480" w:lineRule="auto"/>
    </w:pPr>
  </w:style>
  <w:style w:type="paragraph" w:styleId="6">
    <w:name w:val="header"/>
    <w:basedOn w:val="1"/>
    <w:link w:val="11"/>
    <w:unhideWhenUsed/>
    <w:uiPriority w:val="99"/>
    <w:pPr>
      <w:tabs>
        <w:tab w:val="center" w:pos="4252"/>
        <w:tab w:val="right" w:pos="8504"/>
      </w:tabs>
      <w:spacing w:after="0" w:line="240" w:lineRule="auto"/>
    </w:pPr>
  </w:style>
  <w:style w:type="paragraph" w:styleId="7">
    <w:name w:val="footer"/>
    <w:basedOn w:val="1"/>
    <w:link w:val="12"/>
    <w:unhideWhenUsed/>
    <w:qFormat/>
    <w:uiPriority w:val="99"/>
    <w:pPr>
      <w:tabs>
        <w:tab w:val="center" w:pos="4252"/>
        <w:tab w:val="right" w:pos="8504"/>
      </w:tabs>
      <w:spacing w:after="0" w:line="240" w:lineRule="auto"/>
    </w:p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paragraph" w:styleId="10">
    <w:name w:val="No Spacing"/>
    <w:qFormat/>
    <w:uiPriority w:val="1"/>
    <w:rPr>
      <w:rFonts w:ascii="Calibri" w:hAnsi="Calibri" w:eastAsia="Calibri" w:cs="Times New Roman"/>
      <w:sz w:val="22"/>
      <w:szCs w:val="22"/>
      <w:lang w:val="pt-BR" w:eastAsia="en-US" w:bidi="ar-SA"/>
    </w:rPr>
  </w:style>
  <w:style w:type="character" w:customStyle="1" w:styleId="11">
    <w:name w:val="Cabeçalho Char"/>
    <w:basedOn w:val="2"/>
    <w:link w:val="6"/>
    <w:uiPriority w:val="99"/>
  </w:style>
  <w:style w:type="character" w:customStyle="1" w:styleId="12">
    <w:name w:val="Rodapé Char"/>
    <w:basedOn w:val="2"/>
    <w:link w:val="7"/>
    <w:qFormat/>
    <w:uiPriority w:val="99"/>
  </w:style>
  <w:style w:type="character" w:customStyle="1" w:styleId="13">
    <w:name w:val="Corpo de texto 2 Char"/>
    <w:basedOn w:val="2"/>
    <w:link w:val="5"/>
    <w:semiHidden/>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2DBF-E1AA-475B-8D18-2BD91E8EF8D3}">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2861</Words>
  <Characters>15451</Characters>
  <Lines>128</Lines>
  <Paragraphs>36</Paragraphs>
  <TotalTime>0</TotalTime>
  <ScaleCrop>false</ScaleCrop>
  <LinksUpToDate>false</LinksUpToDate>
  <CharactersWithSpaces>18276</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2023-09-21T16:25:00Z</dcterms:created>
  <dc:creator>Kenedy Corteletti</dc:creator>
  <cp:lastModifiedBy>GerTI</cp:lastModifiedBy>
  <dcterms:modified xsi:type="dcterms:W3CDTF">2023-09-22T11:53:58Z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711DD2B7632D469390FBF1EB3C997575_12</vt:lpwstr>
  </property>
</Properties>
</file>