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90"/>
        <w:gridCol w:w="702"/>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tabs>
                <w:tab w:val="left" w:pos="3160"/>
              </w:tabs>
              <w:jc w:val="center"/>
              <w:rPr>
                <w:sz w:val="20"/>
                <w:szCs w:val="20"/>
              </w:rPr>
            </w:pPr>
          </w:p>
        </w:tc>
        <w:tc>
          <w:tcPr>
            <w:tcW w:w="8494" w:type="dxa"/>
            <w:gridSpan w:val="3"/>
            <w:shd w:val="clear" w:color="auto" w:fill="auto"/>
          </w:tcPr>
          <w:p>
            <w:pPr>
              <w:tabs>
                <w:tab w:val="left" w:pos="3160"/>
              </w:tabs>
              <w:jc w:val="center"/>
              <w:rPr>
                <w:sz w:val="20"/>
                <w:szCs w:val="20"/>
              </w:rPr>
            </w:pPr>
            <w:r>
              <w:rPr>
                <w:sz w:val="20"/>
                <w:szCs w:val="20"/>
              </w:rPr>
              <w:t>CHECKLIST – CARONA ATA DE REGISTRO DE PREÇO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Tipos de Documentos e Autorizações</w:t>
            </w:r>
          </w:p>
        </w:tc>
        <w:tc>
          <w:tcPr>
            <w:tcW w:w="702" w:type="dxa"/>
          </w:tcPr>
          <w:p>
            <w:pPr>
              <w:tabs>
                <w:tab w:val="left" w:pos="3160"/>
              </w:tabs>
              <w:rPr>
                <w:sz w:val="20"/>
                <w:szCs w:val="20"/>
              </w:rPr>
            </w:pPr>
            <w:r>
              <w:rPr>
                <w:sz w:val="14"/>
                <w:szCs w:val="20"/>
              </w:rPr>
              <w:t>PÁGINA</w:t>
            </w:r>
          </w:p>
        </w:tc>
        <w:tc>
          <w:tcPr>
            <w:tcW w:w="702" w:type="dxa"/>
            <w:shd w:val="clear" w:color="auto" w:fill="auto"/>
          </w:tcPr>
          <w:p>
            <w:pPr>
              <w:tabs>
                <w:tab w:val="left" w:pos="3160"/>
              </w:tabs>
              <w:rPr>
                <w:sz w:val="20"/>
                <w:szCs w:val="20"/>
              </w:rPr>
            </w:pPr>
            <w:r>
              <w:rPr>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Memorando</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Termo de Referência – Conforme modelo disponibilizado no site</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Solicitação do Pedido no Sistema de Compras</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Ofício PMST solicitando a Adesão (Órgão)</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Ofício PMST solicitando a Adesão (Empresa)</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Ofício resposta do Órgão</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Ofício resposta da Empresa</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Edital do Pregão que resultou a Ata</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Adjudicação e Homologação do Pregão</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Publicação Resultado</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Ata de Registro de Preço</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Publicação da Ata de Registro de Preço</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Mínimo de 03 (três) orçamentos (assinados pelo SERVIDOR responsável da pesquisa)</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shd w:val="clear" w:color="auto" w:fill="auto"/>
          </w:tcPr>
          <w:p>
            <w:pPr>
              <w:tabs>
                <w:tab w:val="left" w:pos="3160"/>
              </w:tabs>
              <w:rPr>
                <w:sz w:val="20"/>
                <w:szCs w:val="20"/>
              </w:rPr>
            </w:pPr>
            <w:r>
              <w:rPr>
                <w:sz w:val="20"/>
                <w:szCs w:val="20"/>
              </w:rPr>
              <w:t>Documentação de Habilitação Jurídica e Fiscal da empresa a ser contratada</w:t>
            </w:r>
          </w:p>
        </w:tc>
        <w:tc>
          <w:tcPr>
            <w:tcW w:w="702" w:type="dxa"/>
          </w:tcPr>
          <w:p>
            <w:pPr>
              <w:tabs>
                <w:tab w:val="left" w:pos="3160"/>
              </w:tabs>
              <w:rPr>
                <w:sz w:val="20"/>
                <w:szCs w:val="20"/>
              </w:rPr>
            </w:pPr>
          </w:p>
        </w:tc>
        <w:tc>
          <w:tcPr>
            <w:tcW w:w="702" w:type="dxa"/>
            <w:shd w:val="clear" w:color="auto" w:fill="auto"/>
          </w:tcPr>
          <w:p>
            <w:pPr>
              <w:tabs>
                <w:tab w:val="left" w:pos="3160"/>
              </w:tabs>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gridSpan w:val="2"/>
            <w:tcBorders>
              <w:top w:val="single" w:color="auto" w:sz="4" w:space="0"/>
              <w:left w:val="single" w:color="auto" w:sz="4" w:space="0"/>
              <w:bottom w:val="single" w:color="auto" w:sz="4" w:space="0"/>
              <w:right w:val="single" w:color="auto" w:sz="12" w:space="0"/>
            </w:tcBorders>
            <w:shd w:val="clear" w:color="auto" w:fill="auto"/>
          </w:tcPr>
          <w:p>
            <w:pPr>
              <w:tabs>
                <w:tab w:val="left" w:pos="3160"/>
              </w:tabs>
              <w:rPr>
                <w:sz w:val="20"/>
                <w:szCs w:val="20"/>
              </w:rPr>
            </w:pPr>
            <w:r>
              <w:rPr>
                <w:sz w:val="20"/>
                <w:szCs w:val="20"/>
              </w:rPr>
              <w:t>Caso for por Convênio ou Emenda Parlamentar, anexar todos os documentos (Convênio, Publicação, Plano de Trabalho e outros)</w:t>
            </w:r>
          </w:p>
        </w:tc>
        <w:tc>
          <w:tcPr>
            <w:tcW w:w="702" w:type="dxa"/>
            <w:tcBorders>
              <w:top w:val="single" w:color="auto" w:sz="4" w:space="0"/>
              <w:left w:val="single" w:color="auto" w:sz="12" w:space="0"/>
              <w:bottom w:val="single" w:color="auto" w:sz="4" w:space="0"/>
              <w:right w:val="single" w:color="auto" w:sz="12" w:space="0"/>
            </w:tcBorders>
          </w:tcPr>
          <w:p>
            <w:pPr>
              <w:tabs>
                <w:tab w:val="left" w:pos="3160"/>
              </w:tabs>
              <w:rPr>
                <w:sz w:val="20"/>
                <w:szCs w:val="20"/>
              </w:rPr>
            </w:pPr>
          </w:p>
        </w:tc>
        <w:tc>
          <w:tcPr>
            <w:tcW w:w="702" w:type="dxa"/>
            <w:tcBorders>
              <w:top w:val="single" w:color="auto" w:sz="4" w:space="0"/>
              <w:left w:val="single" w:color="auto" w:sz="12" w:space="0"/>
              <w:bottom w:val="single" w:color="auto" w:sz="4" w:space="0"/>
              <w:right w:val="single" w:color="auto" w:sz="4" w:space="0"/>
            </w:tcBorders>
            <w:shd w:val="clear" w:color="auto" w:fill="auto"/>
          </w:tcPr>
          <w:p>
            <w:pPr>
              <w:tabs>
                <w:tab w:val="left" w:pos="3160"/>
              </w:tabs>
              <w:rPr>
                <w:sz w:val="20"/>
                <w:szCs w:val="20"/>
              </w:rPr>
            </w:pPr>
          </w:p>
        </w:tc>
      </w:tr>
    </w:tbl>
    <w:p/>
    <w:p>
      <w:r>
        <w:t>Santa Teresa, -- de ---- de 20—</w:t>
      </w:r>
    </w:p>
    <w:p/>
    <w:p>
      <w:pPr>
        <w:jc w:val="center"/>
      </w:pPr>
      <w:r>
        <w:t>___________________________________________</w:t>
      </w:r>
    </w:p>
    <w:p>
      <w:pPr>
        <w:jc w:val="center"/>
      </w:pPr>
      <w:r>
        <w:t>Responsável</w:t>
      </w: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TERMO DE REFERÊNCIA – PADRONIZADO</w:t>
      </w:r>
    </w:p>
    <w:p>
      <w:pPr>
        <w:pStyle w:val="26"/>
        <w:ind w:left="0"/>
        <w:jc w:val="center"/>
        <w:rPr>
          <w:rFonts w:ascii="Times New Roman" w:hAnsi="Times New Roman"/>
          <w:b/>
          <w:sz w:val="28"/>
          <w:szCs w:val="28"/>
        </w:rPr>
      </w:pPr>
    </w:p>
    <w:p>
      <w:pPr>
        <w:pStyle w:val="26"/>
        <w:ind w:left="0"/>
        <w:jc w:val="center"/>
        <w:rPr>
          <w:rFonts w:ascii="Times New Roman" w:hAnsi="Times New Roman"/>
          <w:b/>
          <w:sz w:val="28"/>
          <w:szCs w:val="28"/>
        </w:rPr>
      </w:pPr>
      <w:r>
        <w:rPr>
          <w:rFonts w:ascii="Times New Roman" w:hAnsi="Times New Roman"/>
          <w:b/>
          <w:sz w:val="28"/>
          <w:szCs w:val="28"/>
        </w:rPr>
        <w:t>(SERVIÇOS – SRP Carona)</w:t>
      </w:r>
    </w:p>
    <w:p>
      <w:pPr>
        <w:pStyle w:val="26"/>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 – SECRETARIA REQUISITANTE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highlight w:val="yellow"/>
        </w:rPr>
        <w:t>Secretaria Municipal de --------------------------</w:t>
      </w:r>
    </w:p>
    <w:p>
      <w:pPr>
        <w:autoSpaceDE w:val="0"/>
        <w:autoSpaceDN w:val="0"/>
        <w:adjustRightInd w:val="0"/>
        <w:spacing w:after="0" w:line="240" w:lineRule="auto"/>
        <w:jc w:val="center"/>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(conforme Ata de Registro de Preço)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 Contratação de empresa especializada em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é parte integrante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highlight w:val="yellow"/>
        </w:rPr>
        <w:t>Justificativa acerca da necessidade, conveniência e oportunidade da contratação pelo setor demandante. O princípio da motivação determina que a Administração deve justificar todos os seus atos, apresentadas as razões que o fizeram decidir sobre determinados fatos.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highlight w:val="yellow"/>
        </w:rPr>
        <w:t>É preciso justificar o quantitativo do objeto, o que comprova a necessidade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4.1 Será realizada através da Adesão a Ata de Registro de Preço </w:t>
      </w:r>
      <w:r>
        <w:rPr>
          <w:rFonts w:ascii="Times New Roman" w:hAnsi="Times New Roman"/>
          <w:sz w:val="28"/>
          <w:szCs w:val="28"/>
          <w:highlight w:val="yellow"/>
        </w:rPr>
        <w:t>nº --/20--, resultante do Pregão Eletrônico ou Presencial nº --/20--, do (informar qual órgão).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FORMA DE PRESTAÇÃO DOS SERVIÇOS </w:t>
      </w:r>
      <w:r>
        <w:rPr>
          <w:rFonts w:ascii="Times New Roman" w:hAnsi="Times New Roman"/>
          <w:b/>
          <w:sz w:val="28"/>
          <w:szCs w:val="28"/>
          <w:highlight w:val="yellow"/>
        </w:rPr>
        <w:t>(conforme Ata de Registro de Preço)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5.1 - Especificar a forma de prestação de serviços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MATERIAIS, EQUIPAMENTOS E INSTALAÇÕES </w:t>
      </w:r>
      <w:r>
        <w:rPr>
          <w:rFonts w:ascii="Times New Roman" w:hAnsi="Times New Roman"/>
          <w:b/>
          <w:sz w:val="28"/>
          <w:szCs w:val="28"/>
          <w:highlight w:val="yellow"/>
        </w:rPr>
        <w:t>(conforme Ata de Registro de Preço)</w:t>
      </w:r>
      <w:r>
        <w:rPr>
          <w:rFonts w:ascii="Times New Roman" w:hAnsi="Times New Roman"/>
          <w:b/>
          <w:sz w:val="28"/>
          <w:szCs w:val="28"/>
        </w:rPr>
        <w:t xml:space="preserve"> </w:t>
      </w:r>
      <w:r>
        <w:rPr>
          <w:rFonts w:ascii="Times New Roman" w:hAnsi="Times New Roman"/>
          <w:b/>
          <w:sz w:val="28"/>
          <w:szCs w:val="28"/>
          <w:highlight w:val="yellow"/>
        </w:rPr>
        <w:t>(pode ser dispensado)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w:t>
      </w:r>
      <w:r>
        <w:rPr>
          <w:rFonts w:ascii="Times New Roman" w:hAnsi="Times New Roman"/>
          <w:bCs/>
          <w:iCs/>
          <w:sz w:val="28"/>
          <w:szCs w:val="28"/>
        </w:rPr>
        <w:t>A Contratada</w:t>
      </w:r>
      <w:r>
        <w:rPr>
          <w:rFonts w:ascii="Times New Roman" w:hAnsi="Times New Roman"/>
          <w:sz w:val="28"/>
          <w:szCs w:val="28"/>
        </w:rPr>
        <w:t xml:space="preserve"> deverá executar o serviço utilizando-se dos materiais, equipamentos, ferramentas e utensílios necessários à perfeita execução contratuais.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Caso necessário especificar os materiais, equipamento e instalações, tomando cuidado para não direcionar 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PRAZOS E CONDIÇÕES DE ENTREGA DO SERVIÇO </w:t>
      </w:r>
      <w:r>
        <w:rPr>
          <w:rFonts w:ascii="Times New Roman" w:hAnsi="Times New Roman"/>
          <w:b/>
          <w:sz w:val="28"/>
          <w:szCs w:val="28"/>
          <w:highlight w:val="yellow"/>
        </w:rPr>
        <w:t>(conforme Ata de Registro de Preço)</w:t>
      </w:r>
      <w:r>
        <w:rPr>
          <w:rFonts w:ascii="Times New Roman" w:hAnsi="Times New Roman"/>
          <w:b/>
          <w:sz w:val="28"/>
          <w:szCs w:val="28"/>
        </w:rPr>
        <w:t xml:space="preserve"> </w:t>
      </w:r>
      <w:r>
        <w:rPr>
          <w:rFonts w:ascii="Times New Roman" w:hAnsi="Times New Roman"/>
          <w:b/>
          <w:sz w:val="28"/>
          <w:szCs w:val="28"/>
          <w:highlight w:val="yellow"/>
        </w:rPr>
        <w:t>(item 7.2 é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7.1. </w:t>
      </w:r>
      <w:r>
        <w:rPr>
          <w:rFonts w:ascii="Times New Roman" w:hAnsi="Times New Roman"/>
          <w:sz w:val="28"/>
          <w:szCs w:val="28"/>
        </w:rPr>
        <w:t xml:space="preserve">O prazo para execução dos serviços </w:t>
      </w:r>
      <w:r>
        <w:rPr>
          <w:rFonts w:ascii="Times New Roman" w:hAnsi="Times New Roman"/>
          <w:sz w:val="28"/>
          <w:szCs w:val="28"/>
          <w:highlight w:val="yellow"/>
        </w:rPr>
        <w:t>será...</w:t>
      </w:r>
      <w:r>
        <w:rPr>
          <w:rFonts w:ascii="Times New Roman" w:hAnsi="Times New Roman"/>
          <w:sz w:val="28"/>
          <w:szCs w:val="28"/>
        </w:rPr>
        <w:t xml:space="preserve">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7.2. </w:t>
      </w:r>
      <w:r>
        <w:rPr>
          <w:rFonts w:ascii="Times New Roman" w:hAnsi="Times New Roman"/>
          <w:sz w:val="28"/>
          <w:szCs w:val="28"/>
        </w:rPr>
        <w:t>Os serviços serão recebidos:</w:t>
      </w:r>
    </w:p>
    <w:p>
      <w:pPr>
        <w:autoSpaceDE w:val="0"/>
        <w:autoSpaceDN w:val="0"/>
        <w:adjustRightInd w:val="0"/>
        <w:spacing w:after="0" w:line="240" w:lineRule="auto"/>
        <w:jc w:val="both"/>
        <w:rPr>
          <w:rFonts w:ascii="Times New Roman" w:hAnsi="Times New Roman"/>
          <w:sz w:val="28"/>
          <w:szCs w:val="28"/>
          <w:lang w:val="zh-CN"/>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7.2.1. </w:t>
      </w:r>
      <w:r>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7.2.2.</w:t>
      </w:r>
      <w:r>
        <w:rPr>
          <w:rFonts w:ascii="Times New Roman" w:hAnsi="Times New Roman"/>
          <w:b/>
          <w:bCs/>
          <w:sz w:val="28"/>
          <w:szCs w:val="28"/>
        </w:rPr>
        <w:t xml:space="preserve"> </w:t>
      </w:r>
      <w:r>
        <w:rPr>
          <w:rFonts w:ascii="Times New Roman" w:hAnsi="Times New Roman"/>
          <w:sz w:val="28"/>
          <w:szCs w:val="28"/>
        </w:rPr>
        <w:t xml:space="preserve">Definitivamente, em até 15 (quinze) dias após o recebimento provisório, caso não se verifique defeitos ou imperfeições, por servidor designado pela autoridade competente, </w:t>
      </w:r>
      <w:r>
        <w:rPr>
          <w:rFonts w:ascii="Times New Roman" w:hAnsi="Times New Roman"/>
          <w:sz w:val="28"/>
          <w:szCs w:val="28"/>
          <w:lang w:val="zh-CN"/>
        </w:rPr>
        <w:t>através da aposição, data e assinatura do carimbo de “Atesto” na Nota Fiscal</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GARANTIAS </w:t>
      </w:r>
      <w:r>
        <w:rPr>
          <w:rFonts w:ascii="Times New Roman" w:hAnsi="Times New Roman"/>
          <w:b/>
          <w:sz w:val="28"/>
          <w:szCs w:val="28"/>
          <w:highlight w:val="yellow"/>
        </w:rPr>
        <w:t>(conforme Ata de Registro de Preço)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8.1 Fornecer garantia mínima de -- () meses a partir da emissão da(s) </w:t>
      </w:r>
      <w:r>
        <w:rPr>
          <w:rFonts w:ascii="Times New Roman" w:hAnsi="Times New Roman"/>
          <w:sz w:val="28"/>
          <w:szCs w:val="28"/>
          <w:highlight w:val="yellow"/>
        </w:rPr>
        <w:t>Nota(s) Fiscal(is) ou fatura(s)...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OBRIGAÇÕES DA CONTRATADA  </w:t>
      </w:r>
      <w:r>
        <w:rPr>
          <w:rFonts w:ascii="Times New Roman" w:hAnsi="Times New Roman"/>
          <w:b/>
          <w:sz w:val="28"/>
          <w:szCs w:val="28"/>
          <w:highlight w:val="yellow"/>
        </w:rPr>
        <w:t>(Itens 9.1 a 9.12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9.4 Disponibilizar aos empregados os Equipamentos de Proteção Individual - EPI, quando for o caso;</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9.6 Relatar à Administração toda e qualquer irregularidade verificada no decorrer da prestação dos serviços;</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9.7 Não permitir a utilização do trabalho do menor;</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9.9 Nã</w:t>
      </w:r>
      <w:r>
        <w:rPr>
          <w:rFonts w:ascii="Times New Roman" w:hAnsi="Times New Roman"/>
          <w:sz w:val="28"/>
          <w:szCs w:val="28"/>
        </w:rPr>
        <w:t>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9.11.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9.12. Por acordo entre as partes as supressões poderão ser superiores ao limite de 25% estabelecido no item anterior.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OBRIGAÇÕES DA CONTRATANTE </w:t>
      </w:r>
      <w:r>
        <w:rPr>
          <w:rFonts w:ascii="Times New Roman" w:hAnsi="Times New Roman"/>
          <w:b/>
          <w:sz w:val="28"/>
          <w:szCs w:val="28"/>
          <w:highlight w:val="yellow"/>
        </w:rPr>
        <w:t>(Itens 10.1 a 10.10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rPr>
        <w:t>10.1 P</w:t>
      </w:r>
      <w:r>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10.2 Exigir o cumprimento de todas as obrigações assumidas pela Contratada, de acordo com as cláusulas contratuais e os termos de sua proposta;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10.3 Exercer o acompanhamento e a fiscalização dos serviços, por servidor especialmente designado, anotando em registro próprio as falhas detectadas,</w:t>
      </w:r>
      <w:r>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10.4 Rejeitar, no todo ou em parte, os serviços executados em desacordo com as respectivas especificações;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10.5 Pagar à Contratada o valor resultante da prestação do serviço, na forma do contrato;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10.7 Notificar a Contratada por escrito da ocorrência de eventuais imperfeições no curso da execução dos serviços, fixando prazo para a sua correção;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10.8 Propor a aplicação à CONTRATADA das penalidades regulamentares e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10.9 Manifestar-se oficialmente em todos os atos relativos à execução do contrato, em especial, aplicação de sanções, alterações e repactuações do mesmo;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 xml:space="preserve">10.10 Não </w:t>
      </w:r>
      <w:r>
        <w:rPr>
          <w:rFonts w:ascii="Times New Roman" w:hAnsi="Times New Roman" w:eastAsia="Verdana"/>
          <w:sz w:val="28"/>
          <w:szCs w:val="28"/>
        </w:rPr>
        <w:t>praticar atos de ingerência na administração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11.1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orçamentos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 que não poderá ser inferior a 60 (sessenta) dias.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A fiscalização do contrato será realizada pelo servidor </w:t>
      </w:r>
      <w:r>
        <w:rPr>
          <w:rFonts w:ascii="Times New Roman" w:hAnsi="Times New Roman"/>
          <w:sz w:val="28"/>
          <w:szCs w:val="28"/>
          <w:highlight w:val="yellow"/>
        </w:rPr>
        <w:t>_______________</w:t>
      </w:r>
      <w:r>
        <w:rPr>
          <w:rFonts w:ascii="Times New Roman" w:hAnsi="Times New Roman"/>
          <w:sz w:val="28"/>
          <w:szCs w:val="28"/>
        </w:rPr>
        <w:t xml:space="preserve"> previamente designado pela Prefeitura Municipal de Santa Teresa que irão fiscalizar a execução do Contrato do serviço que competirá:</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12.1.1. Anotar em registro próprio todas as ocorrências relacionadas com a execução e determinando o que for necessário à regularização das faltas ou defeitos observados;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12.1.2. Recusar os serviços executados em desacordo com o pactuado e determinar por escrito, instruções ou comunicados de desfazimento, ajustes ou correções;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12.1.3. Comunicar à contratada os danos porventura causados por seus empregados no âmbito deste Poder, requerendo as providências reparadoras;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r>
        <w:rPr>
          <w:rFonts w:ascii="Times New Roman" w:hAnsi="Times New Roman"/>
          <w:sz w:val="28"/>
          <w:szCs w:val="28"/>
          <w:highlight w:val="yellow"/>
        </w:rPr>
        <w:t>ou</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green"/>
        </w:rPr>
        <w:t>13.1 O pagamento dos serviços executados será efetuado até o 5° dia útil do mês subsequente à prestação dos serviços, mediante apresentação das Notas Fiscais/Faturas (até o 1° dia útil do mês subsequente à prestação dos serviços), devidamente atestadas pelo Órgão contratante. As Notas Fiscais/Faturas deverão ser emitidas com observância dos preços da proposta aceita e após conferidas e visadas serão encaminhadas para processamento e posterior pagamento, contados da data em que foi atestada a prestação dos serviços objeto desta licitação; (Quando for contratação com Valor Mensal definido)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13.6.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13.7.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VIGÊNCIA DO CONTRATO </w:t>
      </w:r>
      <w:r>
        <w:rPr>
          <w:rFonts w:ascii="Times New Roman" w:hAnsi="Times New Roman"/>
          <w:b/>
          <w:sz w:val="28"/>
          <w:szCs w:val="28"/>
          <w:highlight w:val="yellow"/>
        </w:rPr>
        <w:t>(conforme Ata de Registro de Preço)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14.1. O prazo de vigência do Contrato </w:t>
      </w:r>
      <w:r>
        <w:rPr>
          <w:rFonts w:ascii="Times New Roman" w:hAnsi="Times New Roman"/>
          <w:sz w:val="28"/>
          <w:szCs w:val="28"/>
          <w:highlight w:val="yellow"/>
        </w:rPr>
        <w:t>será de 12 (doze) meses</w:t>
      </w:r>
      <w:r>
        <w:rPr>
          <w:rFonts w:ascii="Times New Roman" w:hAnsi="Times New Roman"/>
          <w:sz w:val="28"/>
          <w:szCs w:val="28"/>
        </w:rPr>
        <w:t>, a partir da data da sua assinatura, podendo, por interesse da Administração, ser prorrogado por períodos iguais e sucessivos, nos termos do inciso II, do artigo 57,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 – QUALIFICAÇÃO TÉCNICA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15.1 –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DA DOTAÇÃO ORÇAMENTÁRIA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16.1. </w:t>
      </w:r>
      <w:r>
        <w:rPr>
          <w:rFonts w:ascii="Times New Roman" w:hAnsi="Times New Roman"/>
          <w:color w:val="000000"/>
          <w:sz w:val="28"/>
          <w:szCs w:val="28"/>
        </w:rPr>
        <w:t>Os recursos financeiros para pagamento dos encargos resultantes deste instrumento correrão através da seguinte dotação orçamentária</w:t>
      </w:r>
      <w:r>
        <w:rPr>
          <w:rFonts w:ascii="Times New Roman" w:hAnsi="Times New Roman"/>
          <w:sz w:val="28"/>
          <w:szCs w:val="28"/>
        </w:rPr>
        <w:t xml:space="preserve">,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Outros serviços de terceiros – pessoa jurídica;</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III - 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17.1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17.1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17.1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17.1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18 – CONSIDERAÇÕES FINAIS </w:t>
      </w:r>
      <w:r>
        <w:rPr>
          <w:rFonts w:ascii="Times New Roman" w:hAnsi="Times New Roman"/>
          <w:b/>
          <w:sz w:val="28"/>
          <w:szCs w:val="28"/>
          <w:highlight w:val="yellow"/>
        </w:rPr>
        <w:t>(Itens 18.1 a 18.2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18.1.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18.2.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p>
      <w:pPr>
        <w:rPr>
          <w:rFonts w:ascii="Times New Roman" w:hAnsi="Times New Roman"/>
          <w:sz w:val="28"/>
          <w:szCs w:val="28"/>
        </w:rPr>
      </w:pPr>
    </w:p>
    <w:sectPr>
      <w:headerReference r:id="rId5" w:type="default"/>
      <w:footerReference r:id="rId6" w:type="default"/>
      <w:pgSz w:w="11906" w:h="16838"/>
      <w:pgMar w:top="2719"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enguin">
    <w:altName w:val="Cloud Dancer"/>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b/>
        <w:sz w:val="28"/>
      </w:rPr>
    </w:pPr>
    <w:bookmarkStart w:id="0" w:name="_GoBack"/>
    <w:r>
      <w:rPr>
        <w:lang w:eastAsia="pt-BR"/>
      </w:rPr>
      <w:drawing>
        <wp:anchor distT="0" distB="0" distL="114300" distR="114300" simplePos="0" relativeHeight="251659264" behindDoc="1" locked="0" layoutInCell="1" allowOverlap="1">
          <wp:simplePos x="0" y="0"/>
          <wp:positionH relativeFrom="column">
            <wp:posOffset>-340995</wp:posOffset>
          </wp:positionH>
          <wp:positionV relativeFrom="paragraph">
            <wp:posOffset>81915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0"/>
  </w:p>
  <w:p>
    <w:pPr>
      <w:pStyle w:val="21"/>
      <w:jc w:val="center"/>
      <w:rPr>
        <w:b/>
        <w:sz w:val="28"/>
      </w:rPr>
    </w:pPr>
  </w:p>
  <w:p>
    <w:pPr>
      <w:pStyle w:val="21"/>
      <w:jc w:val="center"/>
      <w:rPr>
        <w:b/>
        <w:sz w:val="28"/>
      </w:rPr>
    </w:pPr>
    <w:r>
      <w:rPr>
        <w:b/>
        <w:sz w:val="28"/>
      </w:rPr>
      <w:t>PREFEITURA MUNICIPAL DE SANTA TERESA</w:t>
    </w:r>
  </w:p>
  <w:p>
    <w:pPr>
      <w:pStyle w:val="21"/>
      <w:jc w:val="center"/>
      <w:rPr>
        <w:b/>
        <w:sz w:val="28"/>
      </w:rPr>
    </w:pPr>
    <w:r>
      <w:rPr>
        <w:b/>
        <w:sz w:val="28"/>
      </w:rPr>
      <w:t>ESTADO DO ESPÍRITO SANTO</w:t>
    </w:r>
  </w:p>
  <w:p>
    <w:pPr>
      <w:pStyle w:val="21"/>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F5EEE"/>
    <w:multiLevelType w:val="multilevel"/>
    <w:tmpl w:val="792F5EE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709D0"/>
    <w:rsid w:val="000927A7"/>
    <w:rsid w:val="000A499A"/>
    <w:rsid w:val="000A7A57"/>
    <w:rsid w:val="000B728F"/>
    <w:rsid w:val="000F194B"/>
    <w:rsid w:val="000F2F8C"/>
    <w:rsid w:val="00163738"/>
    <w:rsid w:val="0016763D"/>
    <w:rsid w:val="001C4D76"/>
    <w:rsid w:val="001C67B4"/>
    <w:rsid w:val="001D759C"/>
    <w:rsid w:val="00212B36"/>
    <w:rsid w:val="00224661"/>
    <w:rsid w:val="0023012B"/>
    <w:rsid w:val="00281F21"/>
    <w:rsid w:val="002A0BA8"/>
    <w:rsid w:val="002A1444"/>
    <w:rsid w:val="002A7D37"/>
    <w:rsid w:val="002B2E51"/>
    <w:rsid w:val="002C65AA"/>
    <w:rsid w:val="002D049D"/>
    <w:rsid w:val="002D050F"/>
    <w:rsid w:val="00310A73"/>
    <w:rsid w:val="0031670B"/>
    <w:rsid w:val="00320B6F"/>
    <w:rsid w:val="00322CB5"/>
    <w:rsid w:val="00347542"/>
    <w:rsid w:val="00354FA9"/>
    <w:rsid w:val="00370EF5"/>
    <w:rsid w:val="00383A4B"/>
    <w:rsid w:val="00386D69"/>
    <w:rsid w:val="0039204E"/>
    <w:rsid w:val="00393491"/>
    <w:rsid w:val="003C3B34"/>
    <w:rsid w:val="003C7F26"/>
    <w:rsid w:val="003F2C9E"/>
    <w:rsid w:val="003F7A6F"/>
    <w:rsid w:val="004123D4"/>
    <w:rsid w:val="004241A7"/>
    <w:rsid w:val="00437B1E"/>
    <w:rsid w:val="00514AA9"/>
    <w:rsid w:val="00534BE6"/>
    <w:rsid w:val="0054550F"/>
    <w:rsid w:val="00553AB8"/>
    <w:rsid w:val="005C5741"/>
    <w:rsid w:val="005D0F4B"/>
    <w:rsid w:val="006122C5"/>
    <w:rsid w:val="00656980"/>
    <w:rsid w:val="0066040C"/>
    <w:rsid w:val="00661454"/>
    <w:rsid w:val="00692C83"/>
    <w:rsid w:val="00695A7A"/>
    <w:rsid w:val="006D7EBE"/>
    <w:rsid w:val="006E7D77"/>
    <w:rsid w:val="00733478"/>
    <w:rsid w:val="00750145"/>
    <w:rsid w:val="00756984"/>
    <w:rsid w:val="00783352"/>
    <w:rsid w:val="0078363C"/>
    <w:rsid w:val="007A425F"/>
    <w:rsid w:val="007B7CB8"/>
    <w:rsid w:val="007D3DE1"/>
    <w:rsid w:val="007E1405"/>
    <w:rsid w:val="007E5EE5"/>
    <w:rsid w:val="007E614B"/>
    <w:rsid w:val="008122F2"/>
    <w:rsid w:val="00835C6B"/>
    <w:rsid w:val="0087497F"/>
    <w:rsid w:val="008943B0"/>
    <w:rsid w:val="008A43B8"/>
    <w:rsid w:val="008C3D15"/>
    <w:rsid w:val="008D11FE"/>
    <w:rsid w:val="008E4207"/>
    <w:rsid w:val="008E7D08"/>
    <w:rsid w:val="0090345D"/>
    <w:rsid w:val="00923AF1"/>
    <w:rsid w:val="009679DA"/>
    <w:rsid w:val="00996F72"/>
    <w:rsid w:val="009B7817"/>
    <w:rsid w:val="009D668D"/>
    <w:rsid w:val="009E1B8C"/>
    <w:rsid w:val="00A64DBC"/>
    <w:rsid w:val="00A812BC"/>
    <w:rsid w:val="00A826AE"/>
    <w:rsid w:val="00B04D96"/>
    <w:rsid w:val="00B20772"/>
    <w:rsid w:val="00B349F8"/>
    <w:rsid w:val="00B37A09"/>
    <w:rsid w:val="00B42026"/>
    <w:rsid w:val="00B7379D"/>
    <w:rsid w:val="00B74D23"/>
    <w:rsid w:val="00B77BEE"/>
    <w:rsid w:val="00BE00D4"/>
    <w:rsid w:val="00C00D5D"/>
    <w:rsid w:val="00C43E3B"/>
    <w:rsid w:val="00C6455C"/>
    <w:rsid w:val="00C85CCB"/>
    <w:rsid w:val="00CA3911"/>
    <w:rsid w:val="00CE6056"/>
    <w:rsid w:val="00D30FBA"/>
    <w:rsid w:val="00D45DD8"/>
    <w:rsid w:val="00D55C73"/>
    <w:rsid w:val="00D64A2D"/>
    <w:rsid w:val="00D70421"/>
    <w:rsid w:val="00D7229A"/>
    <w:rsid w:val="00D87A71"/>
    <w:rsid w:val="00D924D4"/>
    <w:rsid w:val="00DB1E3A"/>
    <w:rsid w:val="00DB74F5"/>
    <w:rsid w:val="00DC5A61"/>
    <w:rsid w:val="00DD6F07"/>
    <w:rsid w:val="00DE3520"/>
    <w:rsid w:val="00DF129F"/>
    <w:rsid w:val="00E54C7D"/>
    <w:rsid w:val="00E55A99"/>
    <w:rsid w:val="00E673AC"/>
    <w:rsid w:val="00EA2886"/>
    <w:rsid w:val="00EA2D0C"/>
    <w:rsid w:val="00ED3230"/>
    <w:rsid w:val="00ED4A7A"/>
    <w:rsid w:val="00EE4EBF"/>
    <w:rsid w:val="00F27D9E"/>
    <w:rsid w:val="00F308E1"/>
    <w:rsid w:val="00F328F4"/>
    <w:rsid w:val="00F636B1"/>
    <w:rsid w:val="00F72826"/>
    <w:rsid w:val="00F72946"/>
    <w:rsid w:val="00F75CCE"/>
    <w:rsid w:val="00F80C1C"/>
    <w:rsid w:val="00F96891"/>
    <w:rsid w:val="00FC66AC"/>
    <w:rsid w:val="00FD3B96"/>
    <w:rsid w:val="00FF5B8E"/>
    <w:rsid w:val="0EDF05A2"/>
    <w:rsid w:val="2B63329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paragraph" w:styleId="2">
    <w:name w:val="heading 1"/>
    <w:basedOn w:val="1"/>
    <w:next w:val="1"/>
    <w:link w:val="31"/>
    <w:qFormat/>
    <w:uiPriority w:val="0"/>
    <w:pPr>
      <w:keepNext/>
      <w:widowControl w:val="0"/>
      <w:numPr>
        <w:ilvl w:val="0"/>
        <w:numId w:val="1"/>
      </w:numPr>
      <w:overflowPunct w:val="0"/>
      <w:autoSpaceDE w:val="0"/>
      <w:autoSpaceDN w:val="0"/>
      <w:adjustRightInd w:val="0"/>
      <w:spacing w:after="0" w:line="240" w:lineRule="auto"/>
      <w:jc w:val="both"/>
      <w:textAlignment w:val="baseline"/>
      <w:outlineLvl w:val="0"/>
    </w:pPr>
    <w:rPr>
      <w:rFonts w:ascii="Times New Roman" w:hAnsi="Times New Roman" w:eastAsia="Times New Roman"/>
      <w:color w:val="000000"/>
      <w:sz w:val="24"/>
      <w:szCs w:val="20"/>
    </w:rPr>
  </w:style>
  <w:style w:type="paragraph" w:styleId="3">
    <w:name w:val="heading 2"/>
    <w:basedOn w:val="1"/>
    <w:next w:val="1"/>
    <w:link w:val="32"/>
    <w:qFormat/>
    <w:uiPriority w:val="0"/>
    <w:pPr>
      <w:keepNext/>
      <w:numPr>
        <w:ilvl w:val="1"/>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hAnsi="Arial" w:eastAsia="Times New Roman"/>
      <w:b/>
      <w:i/>
      <w:sz w:val="24"/>
      <w:szCs w:val="20"/>
    </w:rPr>
  </w:style>
  <w:style w:type="paragraph" w:styleId="4">
    <w:name w:val="heading 3"/>
    <w:basedOn w:val="1"/>
    <w:next w:val="1"/>
    <w:link w:val="33"/>
    <w:qFormat/>
    <w:uiPriority w:val="0"/>
    <w:pPr>
      <w:keepNext/>
      <w:numPr>
        <w:ilvl w:val="2"/>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hAnsi="Arial" w:eastAsia="Times New Roman"/>
      <w:sz w:val="24"/>
      <w:szCs w:val="20"/>
    </w:rPr>
  </w:style>
  <w:style w:type="paragraph" w:styleId="5">
    <w:name w:val="heading 4"/>
    <w:basedOn w:val="1"/>
    <w:next w:val="1"/>
    <w:link w:val="34"/>
    <w:qFormat/>
    <w:uiPriority w:val="0"/>
    <w:pPr>
      <w:keepNext/>
      <w:widowControl w:val="0"/>
      <w:numPr>
        <w:ilvl w:val="3"/>
        <w:numId w:val="1"/>
      </w:numPr>
      <w:overflowPunct w:val="0"/>
      <w:autoSpaceDE w:val="0"/>
      <w:autoSpaceDN w:val="0"/>
      <w:adjustRightInd w:val="0"/>
      <w:spacing w:after="0" w:line="240" w:lineRule="auto"/>
      <w:textAlignment w:val="baseline"/>
      <w:outlineLvl w:val="3"/>
    </w:pPr>
    <w:rPr>
      <w:rFonts w:ascii="Times New Roman" w:hAnsi="Times New Roman" w:eastAsia="Times New Roman"/>
      <w:sz w:val="24"/>
      <w:szCs w:val="20"/>
      <w:lang w:eastAsia="pt-BR"/>
    </w:rPr>
  </w:style>
  <w:style w:type="paragraph" w:styleId="6">
    <w:name w:val="heading 5"/>
    <w:basedOn w:val="1"/>
    <w:next w:val="1"/>
    <w:link w:val="35"/>
    <w:qFormat/>
    <w:uiPriority w:val="0"/>
    <w:pPr>
      <w:keepNext/>
      <w:widowControl w:val="0"/>
      <w:numPr>
        <w:ilvl w:val="4"/>
        <w:numId w:val="1"/>
      </w:numPr>
      <w:overflowPunct w:val="0"/>
      <w:autoSpaceDE w:val="0"/>
      <w:autoSpaceDN w:val="0"/>
      <w:adjustRightInd w:val="0"/>
      <w:spacing w:after="0" w:line="240" w:lineRule="auto"/>
      <w:jc w:val="center"/>
      <w:textAlignment w:val="baseline"/>
      <w:outlineLvl w:val="4"/>
    </w:pPr>
    <w:rPr>
      <w:rFonts w:ascii="Times New Roman" w:hAnsi="Times New Roman" w:eastAsia="Times New Roman"/>
      <w:sz w:val="24"/>
      <w:szCs w:val="20"/>
      <w:lang w:eastAsia="pt-BR"/>
    </w:rPr>
  </w:style>
  <w:style w:type="paragraph" w:styleId="7">
    <w:name w:val="heading 6"/>
    <w:basedOn w:val="1"/>
    <w:next w:val="1"/>
    <w:link w:val="36"/>
    <w:qFormat/>
    <w:uiPriority w:val="0"/>
    <w:pPr>
      <w:keepNext/>
      <w:numPr>
        <w:ilvl w:val="5"/>
        <w:numId w:val="1"/>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hAnsi="Arial" w:eastAsia="Times New Roman"/>
      <w:b/>
      <w:szCs w:val="20"/>
    </w:rPr>
  </w:style>
  <w:style w:type="paragraph" w:styleId="8">
    <w:name w:val="heading 7"/>
    <w:basedOn w:val="1"/>
    <w:next w:val="1"/>
    <w:link w:val="37"/>
    <w:qFormat/>
    <w:uiPriority w:val="0"/>
    <w:pPr>
      <w:keepNext/>
      <w:widowControl w:val="0"/>
      <w:numPr>
        <w:ilvl w:val="6"/>
        <w:numId w:val="1"/>
      </w:numPr>
      <w:overflowPunct w:val="0"/>
      <w:autoSpaceDE w:val="0"/>
      <w:autoSpaceDN w:val="0"/>
      <w:adjustRightInd w:val="0"/>
      <w:spacing w:after="0" w:line="240" w:lineRule="auto"/>
      <w:jc w:val="center"/>
      <w:textAlignment w:val="baseline"/>
      <w:outlineLvl w:val="6"/>
    </w:pPr>
    <w:rPr>
      <w:rFonts w:ascii="Times New Roman" w:hAnsi="Times New Roman" w:eastAsia="Times New Roman"/>
      <w:sz w:val="24"/>
      <w:szCs w:val="20"/>
      <w:lang w:eastAsia="pt-BR"/>
    </w:rPr>
  </w:style>
  <w:style w:type="paragraph" w:styleId="9">
    <w:name w:val="heading 8"/>
    <w:basedOn w:val="1"/>
    <w:next w:val="1"/>
    <w:link w:val="38"/>
    <w:qFormat/>
    <w:uiPriority w:val="0"/>
    <w:pPr>
      <w:keepNext/>
      <w:numPr>
        <w:ilvl w:val="7"/>
        <w:numId w:val="1"/>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hAnsi="Arial" w:eastAsia="Times New Roman"/>
      <w:b/>
      <w:bCs/>
      <w:szCs w:val="20"/>
    </w:rPr>
  </w:style>
  <w:style w:type="paragraph" w:styleId="10">
    <w:name w:val="heading 9"/>
    <w:basedOn w:val="1"/>
    <w:next w:val="1"/>
    <w:link w:val="39"/>
    <w:qFormat/>
    <w:uiPriority w:val="0"/>
    <w:pPr>
      <w:keepNext/>
      <w:widowControl w:val="0"/>
      <w:numPr>
        <w:ilvl w:val="8"/>
        <w:numId w:val="1"/>
      </w:numPr>
      <w:overflowPunct w:val="0"/>
      <w:autoSpaceDE w:val="0"/>
      <w:autoSpaceDN w:val="0"/>
      <w:adjustRightInd w:val="0"/>
      <w:spacing w:after="0" w:line="240" w:lineRule="auto"/>
      <w:jc w:val="center"/>
      <w:textAlignment w:val="baseline"/>
      <w:outlineLvl w:val="8"/>
    </w:pPr>
    <w:rPr>
      <w:rFonts w:ascii="Arial" w:hAnsi="Arial" w:eastAsia="Times New Roman" w:cs="Arial"/>
      <w:color w:val="000000"/>
      <w:sz w:val="24"/>
      <w:szCs w:val="20"/>
      <w:lang w:eastAsia="pt-BR"/>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0"/>
    <w:rPr>
      <w:b/>
      <w:bCs/>
    </w:rPr>
  </w:style>
  <w:style w:type="character" w:styleId="14">
    <w:name w:val="Hyperlink"/>
    <w:qFormat/>
    <w:uiPriority w:val="0"/>
    <w:rPr>
      <w:color w:val="0000FF"/>
      <w:u w:val="single"/>
    </w:rPr>
  </w:style>
  <w:style w:type="character" w:styleId="15">
    <w:name w:val="page number"/>
    <w:qFormat/>
    <w:uiPriority w:val="0"/>
    <w:rPr>
      <w:sz w:val="20"/>
    </w:rPr>
  </w:style>
  <w:style w:type="paragraph" w:styleId="16">
    <w:name w:val="Body Text"/>
    <w:basedOn w:val="1"/>
    <w:link w:val="41"/>
    <w:qFormat/>
    <w:uiPriority w:val="1"/>
    <w:pPr>
      <w:widowControl w:val="0"/>
      <w:overflowPunct w:val="0"/>
      <w:autoSpaceDE w:val="0"/>
      <w:autoSpaceDN w:val="0"/>
      <w:adjustRightInd w:val="0"/>
      <w:spacing w:after="0" w:line="240" w:lineRule="auto"/>
      <w:jc w:val="both"/>
      <w:textAlignment w:val="baseline"/>
    </w:pPr>
    <w:rPr>
      <w:rFonts w:ascii="Times New Roman" w:hAnsi="Times New Roman" w:eastAsia="Times New Roman"/>
      <w:color w:val="000000"/>
      <w:sz w:val="24"/>
      <w:szCs w:val="20"/>
    </w:rPr>
  </w:style>
  <w:style w:type="paragraph" w:styleId="17">
    <w:name w:val="Body Text Indent 2"/>
    <w:basedOn w:val="1"/>
    <w:link w:val="48"/>
    <w:qFormat/>
    <w:uiPriority w:val="0"/>
    <w:pPr>
      <w:overflowPunct w:val="0"/>
      <w:autoSpaceDE w:val="0"/>
      <w:autoSpaceDN w:val="0"/>
      <w:adjustRightInd w:val="0"/>
      <w:spacing w:after="120" w:line="480" w:lineRule="auto"/>
      <w:ind w:left="283"/>
      <w:textAlignment w:val="baseline"/>
    </w:pPr>
    <w:rPr>
      <w:rFonts w:ascii="Times New Roman" w:hAnsi="Times New Roman" w:eastAsia="Times New Roman"/>
      <w:sz w:val="20"/>
      <w:szCs w:val="20"/>
    </w:rPr>
  </w:style>
  <w:style w:type="paragraph" w:styleId="18">
    <w:name w:val="Title"/>
    <w:basedOn w:val="1"/>
    <w:link w:val="43"/>
    <w:qFormat/>
    <w:uiPriority w:val="0"/>
    <w:pPr>
      <w:overflowPunct w:val="0"/>
      <w:autoSpaceDE w:val="0"/>
      <w:autoSpaceDN w:val="0"/>
      <w:adjustRightInd w:val="0"/>
      <w:spacing w:after="0" w:line="240" w:lineRule="auto"/>
      <w:jc w:val="center"/>
      <w:textAlignment w:val="baseline"/>
    </w:pPr>
    <w:rPr>
      <w:rFonts w:ascii="Arial" w:hAnsi="Arial" w:eastAsia="Times New Roman"/>
      <w:b/>
      <w:szCs w:val="20"/>
    </w:rPr>
  </w:style>
  <w:style w:type="paragraph" w:styleId="19">
    <w:name w:val="Body Text 3"/>
    <w:basedOn w:val="1"/>
    <w:link w:val="46"/>
    <w:qFormat/>
    <w:uiPriority w:val="0"/>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hAnsi="Arial" w:eastAsia="Times New Roman"/>
      <w:b/>
      <w:bCs/>
      <w:i/>
      <w:iCs/>
      <w:spacing w:val="-3"/>
      <w:szCs w:val="20"/>
    </w:rPr>
  </w:style>
  <w:style w:type="paragraph" w:styleId="20">
    <w:name w:val="Body Text 2"/>
    <w:basedOn w:val="1"/>
    <w:link w:val="44"/>
    <w:qFormat/>
    <w:uiPriority w:val="0"/>
    <w:pPr>
      <w:widowControl w:val="0"/>
      <w:overflowPunct w:val="0"/>
      <w:autoSpaceDE w:val="0"/>
      <w:autoSpaceDN w:val="0"/>
      <w:adjustRightInd w:val="0"/>
      <w:spacing w:after="0" w:line="240" w:lineRule="auto"/>
      <w:textAlignment w:val="baseline"/>
    </w:pPr>
    <w:rPr>
      <w:rFonts w:ascii="Times New Roman" w:hAnsi="Times New Roman" w:eastAsia="Times New Roman"/>
      <w:sz w:val="24"/>
      <w:szCs w:val="20"/>
      <w:lang w:eastAsia="pt-BR"/>
    </w:rPr>
  </w:style>
  <w:style w:type="paragraph" w:styleId="21">
    <w:name w:val="header"/>
    <w:basedOn w:val="1"/>
    <w:link w:val="28"/>
    <w:unhideWhenUsed/>
    <w:qFormat/>
    <w:uiPriority w:val="0"/>
    <w:pPr>
      <w:tabs>
        <w:tab w:val="center" w:pos="4252"/>
        <w:tab w:val="right" w:pos="8504"/>
      </w:tabs>
      <w:spacing w:after="0" w:line="240" w:lineRule="auto"/>
    </w:pPr>
  </w:style>
  <w:style w:type="paragraph" w:styleId="22">
    <w:name w:val="footer"/>
    <w:basedOn w:val="1"/>
    <w:link w:val="29"/>
    <w:unhideWhenUsed/>
    <w:qFormat/>
    <w:uiPriority w:val="0"/>
    <w:pPr>
      <w:tabs>
        <w:tab w:val="center" w:pos="4252"/>
        <w:tab w:val="right" w:pos="8504"/>
      </w:tabs>
      <w:spacing w:after="0" w:line="240" w:lineRule="auto"/>
    </w:pPr>
  </w:style>
  <w:style w:type="paragraph" w:styleId="23">
    <w:name w:val="Balloon Text"/>
    <w:basedOn w:val="1"/>
    <w:link w:val="30"/>
    <w:unhideWhenUsed/>
    <w:qFormat/>
    <w:uiPriority w:val="99"/>
    <w:pPr>
      <w:spacing w:after="0" w:line="240" w:lineRule="auto"/>
    </w:pPr>
    <w:rPr>
      <w:rFonts w:ascii="Tahoma" w:hAnsi="Tahoma" w:cs="Tahoma"/>
      <w:sz w:val="16"/>
      <w:szCs w:val="16"/>
    </w:rPr>
  </w:style>
  <w:style w:type="paragraph" w:styleId="24">
    <w:name w:val="Body Text Indent"/>
    <w:basedOn w:val="1"/>
    <w:link w:val="47"/>
    <w:qFormat/>
    <w:uiPriority w:val="0"/>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hAnsi="Arial" w:eastAsia="Times New Roman"/>
      <w:szCs w:val="20"/>
    </w:rPr>
  </w:style>
  <w:style w:type="table" w:styleId="25">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720"/>
      <w:contextualSpacing/>
    </w:pPr>
  </w:style>
  <w:style w:type="paragraph" w:styleId="27">
    <w:name w:val="No Spacing"/>
    <w:qFormat/>
    <w:uiPriority w:val="1"/>
    <w:rPr>
      <w:rFonts w:ascii="Calibri" w:hAnsi="Calibri" w:eastAsia="Calibri" w:cs="Times New Roman"/>
      <w:sz w:val="22"/>
      <w:szCs w:val="22"/>
      <w:lang w:val="pt-BR" w:eastAsia="en-US" w:bidi="ar-SA"/>
    </w:rPr>
  </w:style>
  <w:style w:type="character" w:customStyle="1" w:styleId="28">
    <w:name w:val="Cabeçalho Char"/>
    <w:basedOn w:val="11"/>
    <w:link w:val="21"/>
    <w:qFormat/>
    <w:uiPriority w:val="0"/>
  </w:style>
  <w:style w:type="character" w:customStyle="1" w:styleId="29">
    <w:name w:val="Rodapé Char"/>
    <w:basedOn w:val="11"/>
    <w:link w:val="22"/>
    <w:qFormat/>
    <w:uiPriority w:val="0"/>
  </w:style>
  <w:style w:type="character" w:customStyle="1" w:styleId="30">
    <w:name w:val="Texto de balão Char"/>
    <w:link w:val="23"/>
    <w:qFormat/>
    <w:uiPriority w:val="99"/>
    <w:rPr>
      <w:rFonts w:ascii="Tahoma" w:hAnsi="Tahoma" w:cs="Tahoma"/>
      <w:sz w:val="16"/>
      <w:szCs w:val="16"/>
      <w:lang w:eastAsia="en-US"/>
    </w:rPr>
  </w:style>
  <w:style w:type="character" w:customStyle="1" w:styleId="31">
    <w:name w:val="Título 1 Char"/>
    <w:link w:val="2"/>
    <w:qFormat/>
    <w:uiPriority w:val="0"/>
    <w:rPr>
      <w:rFonts w:ascii="Times New Roman" w:hAnsi="Times New Roman" w:eastAsia="Times New Roman"/>
      <w:color w:val="000000"/>
      <w:sz w:val="24"/>
      <w:lang w:eastAsia="en-US"/>
    </w:rPr>
  </w:style>
  <w:style w:type="character" w:customStyle="1" w:styleId="32">
    <w:name w:val="Título 2 Char"/>
    <w:link w:val="3"/>
    <w:qFormat/>
    <w:uiPriority w:val="0"/>
    <w:rPr>
      <w:rFonts w:ascii="Arial" w:hAnsi="Arial" w:eastAsia="Times New Roman"/>
      <w:b/>
      <w:i/>
      <w:sz w:val="24"/>
      <w:lang w:eastAsia="en-US"/>
    </w:rPr>
  </w:style>
  <w:style w:type="character" w:customStyle="1" w:styleId="33">
    <w:name w:val="Título 3 Char"/>
    <w:link w:val="4"/>
    <w:qFormat/>
    <w:uiPriority w:val="0"/>
    <w:rPr>
      <w:rFonts w:ascii="Arial" w:hAnsi="Arial" w:eastAsia="Times New Roman"/>
      <w:sz w:val="24"/>
      <w:lang w:eastAsia="en-US"/>
    </w:rPr>
  </w:style>
  <w:style w:type="character" w:customStyle="1" w:styleId="34">
    <w:name w:val="Título 4 Char"/>
    <w:link w:val="5"/>
    <w:qFormat/>
    <w:uiPriority w:val="0"/>
    <w:rPr>
      <w:rFonts w:ascii="Times New Roman" w:hAnsi="Times New Roman" w:eastAsia="Times New Roman"/>
      <w:sz w:val="24"/>
    </w:rPr>
  </w:style>
  <w:style w:type="character" w:customStyle="1" w:styleId="35">
    <w:name w:val="Título 5 Char"/>
    <w:link w:val="6"/>
    <w:qFormat/>
    <w:uiPriority w:val="0"/>
    <w:rPr>
      <w:rFonts w:ascii="Times New Roman" w:hAnsi="Times New Roman" w:eastAsia="Times New Roman"/>
      <w:sz w:val="24"/>
    </w:rPr>
  </w:style>
  <w:style w:type="character" w:customStyle="1" w:styleId="36">
    <w:name w:val="Título 6 Char"/>
    <w:link w:val="7"/>
    <w:qFormat/>
    <w:uiPriority w:val="0"/>
    <w:rPr>
      <w:rFonts w:ascii="Arial" w:hAnsi="Arial" w:eastAsia="Times New Roman"/>
      <w:b/>
      <w:sz w:val="22"/>
      <w:lang w:eastAsia="en-US"/>
    </w:rPr>
  </w:style>
  <w:style w:type="character" w:customStyle="1" w:styleId="37">
    <w:name w:val="Título 7 Char"/>
    <w:link w:val="8"/>
    <w:qFormat/>
    <w:uiPriority w:val="0"/>
    <w:rPr>
      <w:rFonts w:ascii="Times New Roman" w:hAnsi="Times New Roman" w:eastAsia="Times New Roman"/>
      <w:sz w:val="24"/>
    </w:rPr>
  </w:style>
  <w:style w:type="character" w:customStyle="1" w:styleId="38">
    <w:name w:val="Título 8 Char"/>
    <w:link w:val="9"/>
    <w:qFormat/>
    <w:uiPriority w:val="0"/>
    <w:rPr>
      <w:rFonts w:ascii="Arial" w:hAnsi="Arial" w:eastAsia="Times New Roman"/>
      <w:b/>
      <w:bCs/>
      <w:sz w:val="22"/>
      <w:lang w:eastAsia="en-US"/>
    </w:rPr>
  </w:style>
  <w:style w:type="character" w:customStyle="1" w:styleId="39">
    <w:name w:val="Título 9 Char"/>
    <w:link w:val="10"/>
    <w:qFormat/>
    <w:uiPriority w:val="0"/>
    <w:rPr>
      <w:rFonts w:ascii="Arial" w:hAnsi="Arial" w:eastAsia="Times New Roman" w:cs="Arial"/>
      <w:color w:val="000000"/>
      <w:sz w:val="24"/>
    </w:rPr>
  </w:style>
  <w:style w:type="paragraph" w:customStyle="1" w:styleId="40">
    <w:name w:val="Corpo de texto 21"/>
    <w:basedOn w:val="1"/>
    <w:qFormat/>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character" w:customStyle="1" w:styleId="41">
    <w:name w:val="Corpo de texto Char"/>
    <w:link w:val="16"/>
    <w:qFormat/>
    <w:uiPriority w:val="1"/>
    <w:rPr>
      <w:rFonts w:ascii="Times New Roman" w:hAnsi="Times New Roman" w:eastAsia="Times New Roman"/>
      <w:color w:val="000000"/>
      <w:sz w:val="24"/>
      <w:lang w:eastAsia="en-US"/>
    </w:rPr>
  </w:style>
  <w:style w:type="paragraph" w:customStyle="1" w:styleId="42">
    <w:name w:val="Body Text 22"/>
    <w:basedOn w:val="1"/>
    <w:qFormat/>
    <w:uiPriority w:val="0"/>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hAnsi="Arial" w:eastAsia="Times New Roman"/>
      <w:sz w:val="24"/>
      <w:szCs w:val="20"/>
    </w:rPr>
  </w:style>
  <w:style w:type="character" w:customStyle="1" w:styleId="43">
    <w:name w:val="Título Char"/>
    <w:link w:val="18"/>
    <w:qFormat/>
    <w:uiPriority w:val="0"/>
    <w:rPr>
      <w:rFonts w:ascii="Arial" w:hAnsi="Arial" w:eastAsia="Times New Roman"/>
      <w:b/>
      <w:sz w:val="22"/>
      <w:lang w:eastAsia="en-US"/>
    </w:rPr>
  </w:style>
  <w:style w:type="character" w:customStyle="1" w:styleId="44">
    <w:name w:val="Corpo de texto 2 Char"/>
    <w:link w:val="20"/>
    <w:qFormat/>
    <w:uiPriority w:val="0"/>
    <w:rPr>
      <w:rFonts w:ascii="Times New Roman" w:hAnsi="Times New Roman" w:eastAsia="Times New Roman"/>
      <w:sz w:val="24"/>
    </w:rPr>
  </w:style>
  <w:style w:type="paragraph" w:customStyle="1" w:styleId="45">
    <w:name w:val="Corpo do texto"/>
    <w:basedOn w:val="1"/>
    <w:qFormat/>
    <w:uiPriority w:val="0"/>
    <w:pPr>
      <w:suppressAutoHyphens/>
      <w:overflowPunct w:val="0"/>
      <w:autoSpaceDE w:val="0"/>
      <w:autoSpaceDN w:val="0"/>
      <w:adjustRightInd w:val="0"/>
      <w:spacing w:after="0" w:line="240" w:lineRule="atLeast"/>
      <w:jc w:val="both"/>
      <w:textAlignment w:val="baseline"/>
    </w:pPr>
    <w:rPr>
      <w:rFonts w:ascii="Times New Roman" w:hAnsi="Times New Roman" w:eastAsia="Times New Roman"/>
      <w:sz w:val="24"/>
      <w:szCs w:val="20"/>
      <w:lang w:eastAsia="pt-BR"/>
    </w:rPr>
  </w:style>
  <w:style w:type="character" w:customStyle="1" w:styleId="46">
    <w:name w:val="Corpo de texto 3 Char"/>
    <w:link w:val="19"/>
    <w:qFormat/>
    <w:uiPriority w:val="0"/>
    <w:rPr>
      <w:rFonts w:ascii="Arial" w:hAnsi="Arial" w:eastAsia="Times New Roman"/>
      <w:b/>
      <w:bCs/>
      <w:i/>
      <w:iCs/>
      <w:spacing w:val="-3"/>
      <w:sz w:val="22"/>
      <w:lang w:eastAsia="en-US"/>
    </w:rPr>
  </w:style>
  <w:style w:type="character" w:customStyle="1" w:styleId="47">
    <w:name w:val="Recuo de corpo de texto Char"/>
    <w:link w:val="24"/>
    <w:qFormat/>
    <w:uiPriority w:val="0"/>
    <w:rPr>
      <w:rFonts w:ascii="Arial" w:hAnsi="Arial" w:eastAsia="Times New Roman"/>
      <w:sz w:val="22"/>
      <w:lang w:eastAsia="en-US"/>
    </w:rPr>
  </w:style>
  <w:style w:type="character" w:customStyle="1" w:styleId="48">
    <w:name w:val="Recuo de corpo de texto 2 Char"/>
    <w:link w:val="17"/>
    <w:qFormat/>
    <w:uiPriority w:val="0"/>
    <w:rPr>
      <w:rFonts w:ascii="Times New Roman" w:hAnsi="Times New Roman" w:eastAsia="Times New Roman"/>
      <w:lang w:eastAsia="en-US"/>
    </w:rPr>
  </w:style>
  <w:style w:type="paragraph" w:customStyle="1" w:styleId="49">
    <w:name w:val="Recuo de corpo de texto1"/>
    <w:basedOn w:val="1"/>
    <w:qFormat/>
    <w:uiPriority w:val="0"/>
    <w:pPr>
      <w:spacing w:after="0" w:line="240" w:lineRule="auto"/>
      <w:jc w:val="both"/>
    </w:pPr>
    <w:rPr>
      <w:rFonts w:ascii="Tahoma" w:hAnsi="Tahoma" w:eastAsia="Times New Roman" w:cs="Tahoma"/>
      <w:color w:val="000080"/>
      <w:lang w:eastAsia="pt-BR"/>
    </w:rPr>
  </w:style>
  <w:style w:type="paragraph" w:customStyle="1" w:styleId="50">
    <w:name w:val="Texto padrão"/>
    <w:basedOn w:val="1"/>
    <w:qFormat/>
    <w:uiPriority w:val="0"/>
    <w:pPr>
      <w:widowControl w:val="0"/>
      <w:spacing w:after="0" w:line="240" w:lineRule="auto"/>
    </w:pPr>
    <w:rPr>
      <w:rFonts w:ascii="Times New Roman" w:hAnsi="Times New Roman" w:eastAsia="Times New Roman"/>
      <w:sz w:val="24"/>
      <w:szCs w:val="24"/>
      <w:lang w:val="en-US" w:eastAsia="pt-BR"/>
    </w:rPr>
  </w:style>
  <w:style w:type="paragraph" w:customStyle="1" w:styleId="51">
    <w:name w:val="penguin"/>
    <w:basedOn w:val="1"/>
    <w:qFormat/>
    <w:uiPriority w:val="0"/>
    <w:pPr>
      <w:spacing w:after="0" w:line="360" w:lineRule="atLeast"/>
      <w:jc w:val="both"/>
    </w:pPr>
    <w:rPr>
      <w:rFonts w:ascii="Penguin" w:hAnsi="Penguin" w:eastAsia="Times New Roman"/>
      <w:spacing w:val="35"/>
      <w:sz w:val="24"/>
      <w:szCs w:val="24"/>
      <w:lang w:val="pt-PT" w:eastAsia="pt-BR"/>
    </w:rPr>
  </w:style>
  <w:style w:type="paragraph" w:customStyle="1" w:styleId="52">
    <w:name w:val="texto1"/>
    <w:basedOn w:val="1"/>
    <w:qFormat/>
    <w:uiPriority w:val="0"/>
    <w:pPr>
      <w:spacing w:before="100" w:beforeAutospacing="1" w:after="100" w:afterAutospacing="1" w:line="240" w:lineRule="auto"/>
    </w:pPr>
    <w:rPr>
      <w:rFonts w:ascii="Arial Unicode MS" w:hAnsi="Arial Unicode MS" w:eastAsia="Arial Unicode MS" w:cs="Arial Unicode MS"/>
      <w:sz w:val="24"/>
      <w:szCs w:val="24"/>
      <w:lang w:eastAsia="pt-BR"/>
    </w:rPr>
  </w:style>
  <w:style w:type="table" w:customStyle="1" w:styleId="53">
    <w:name w:val="Tabela com grade1"/>
    <w:basedOn w:val="12"/>
    <w:qFormat/>
    <w:uiPriority w:val="59"/>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Body Text 21"/>
    <w:basedOn w:val="1"/>
    <w:qFormat/>
    <w:uiPriority w:val="0"/>
    <w:pPr>
      <w:widowControl w:val="0"/>
      <w:tabs>
        <w:tab w:val="left" w:pos="709"/>
      </w:tabs>
      <w:suppressAutoHyphens/>
      <w:spacing w:after="120" w:line="240" w:lineRule="auto"/>
      <w:jc w:val="both"/>
    </w:pPr>
    <w:rPr>
      <w:rFonts w:ascii="Arial" w:hAnsi="Arial" w:eastAsia="Times New Roman"/>
      <w:sz w:val="24"/>
      <w:szCs w:val="20"/>
      <w:lang w:val="pt-PT" w:eastAsia="ar-SA"/>
    </w:rPr>
  </w:style>
  <w:style w:type="paragraph" w:customStyle="1" w:styleId="55">
    <w:name w:val="Números Principais"/>
    <w:basedOn w:val="1"/>
    <w:qFormat/>
    <w:uiPriority w:val="0"/>
    <w:pPr>
      <w:tabs>
        <w:tab w:val="left" w:pos="720"/>
      </w:tabs>
      <w:suppressAutoHyphens/>
      <w:spacing w:before="120" w:after="240" w:line="240" w:lineRule="auto"/>
      <w:ind w:left="720" w:hanging="720"/>
      <w:jc w:val="both"/>
    </w:pPr>
    <w:rPr>
      <w:rFonts w:ascii="Times New Roman" w:hAnsi="Times New Roman" w:eastAsia="Times New Roman"/>
      <w:sz w:val="24"/>
      <w:szCs w:val="24"/>
      <w:lang w:eastAsia="ar-SA"/>
    </w:rPr>
  </w:style>
  <w:style w:type="paragraph" w:customStyle="1" w:styleId="56">
    <w:name w:val="Corpo"/>
    <w:qFormat/>
    <w:uiPriority w:val="0"/>
    <w:rPr>
      <w:rFonts w:ascii="Times New Roman" w:hAnsi="Times New Roman" w:eastAsia="Times New Roman" w:cs="Times New Roman"/>
      <w:color w:val="000000"/>
      <w:sz w:val="24"/>
      <w:szCs w:val="24"/>
      <w:lang w:val="pt-BR" w:eastAsia="pt-BR" w:bidi="ar-SA"/>
    </w:rPr>
  </w:style>
  <w:style w:type="paragraph" w:customStyle="1" w:styleId="57">
    <w:name w:val="Espírito Santo"/>
    <w:basedOn w:val="1"/>
    <w:qFormat/>
    <w:uiPriority w:val="99"/>
    <w:pPr>
      <w:autoSpaceDE w:val="0"/>
      <w:autoSpaceDN w:val="0"/>
      <w:adjustRightInd w:val="0"/>
      <w:spacing w:after="0" w:line="360" w:lineRule="auto"/>
      <w:jc w:val="center"/>
    </w:pPr>
    <w:rPr>
      <w:rFonts w:ascii="Times New Roman" w:hAnsi="Times New Roman" w:eastAsia="Times New Roman"/>
      <w:b/>
      <w:bCs/>
      <w:sz w:val="24"/>
      <w:szCs w:val="24"/>
      <w:lang w:eastAsia="pt-BR"/>
    </w:rPr>
  </w:style>
  <w:style w:type="paragraph" w:customStyle="1" w:styleId="58">
    <w:name w:val="Anexo - Subtítulo"/>
    <w:basedOn w:val="1"/>
    <w:qFormat/>
    <w:uiPriority w:val="99"/>
    <w:pPr>
      <w:autoSpaceDE w:val="0"/>
      <w:autoSpaceDN w:val="0"/>
      <w:adjustRightInd w:val="0"/>
      <w:spacing w:before="120" w:after="480" w:line="360" w:lineRule="auto"/>
      <w:jc w:val="center"/>
    </w:pPr>
    <w:rPr>
      <w:rFonts w:ascii="Times New Roman" w:hAnsi="Times New Roman" w:eastAsia="Times New Roman"/>
      <w:b/>
      <w:bCs/>
      <w:sz w:val="24"/>
      <w:szCs w:val="24"/>
      <w:lang w:eastAsia="pt-BR"/>
    </w:rPr>
  </w:style>
  <w:style w:type="table" w:customStyle="1" w:styleId="59">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60">
    <w:name w:val="Table Paragraph"/>
    <w:basedOn w:val="1"/>
    <w:qFormat/>
    <w:uiPriority w:val="1"/>
    <w:pPr>
      <w:widowControl w:val="0"/>
      <w:spacing w:after="0" w:line="240" w:lineRule="auto"/>
    </w:pPr>
    <w:rPr>
      <w:lang w:val="en-US"/>
    </w:rPr>
  </w:style>
  <w:style w:type="paragraph" w:customStyle="1" w:styleId="61">
    <w:name w:val="Título 31"/>
    <w:basedOn w:val="1"/>
    <w:qFormat/>
    <w:uiPriority w:val="1"/>
    <w:pPr>
      <w:widowControl w:val="0"/>
      <w:spacing w:after="0" w:line="240" w:lineRule="auto"/>
      <w:ind w:left="402"/>
      <w:outlineLvl w:val="3"/>
    </w:pPr>
    <w:rPr>
      <w:b/>
      <w:bCs/>
      <w:sz w:val="24"/>
      <w:szCs w:val="24"/>
      <w:lang w:val="en-US"/>
    </w:rPr>
  </w:style>
  <w:style w:type="paragraph" w:customStyle="1" w:styleId="62">
    <w:name w:val="Default"/>
    <w:qForma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63">
    <w:name w:val="Letras Multinível"/>
    <w:basedOn w:val="16"/>
    <w:qFormat/>
    <w:uiPriority w:val="0"/>
    <w:pPr>
      <w:widowControl/>
      <w:overflowPunct/>
      <w:autoSpaceDE/>
      <w:autoSpaceDN/>
      <w:adjustRightInd/>
      <w:spacing w:after="120"/>
      <w:ind w:left="540" w:hanging="540"/>
      <w:textAlignment w:val="auto"/>
    </w:pPr>
    <w:rPr>
      <w:color w:val="auto"/>
      <w:szCs w:val="24"/>
      <w:lang w:eastAsia="pt-BR"/>
    </w:rPr>
  </w:style>
  <w:style w:type="paragraph" w:customStyle="1" w:styleId="64">
    <w:name w:val="Corpo de texto 22"/>
    <w:basedOn w:val="1"/>
    <w:qFormat/>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paragraph" w:customStyle="1" w:styleId="65">
    <w:name w:val="Recuo de corpo de texto2"/>
    <w:basedOn w:val="1"/>
    <w:qFormat/>
    <w:uiPriority w:val="0"/>
    <w:pPr>
      <w:spacing w:after="0" w:line="240" w:lineRule="auto"/>
      <w:jc w:val="both"/>
    </w:pPr>
    <w:rPr>
      <w:rFonts w:ascii="Tahoma" w:hAnsi="Tahoma" w:eastAsia="Times New Roman" w:cs="Tahoma"/>
      <w:color w:val="00008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DEAA-3D37-46CB-816D-2445B3DB3FD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2667</Words>
  <Characters>14405</Characters>
  <Lines>120</Lines>
  <Paragraphs>34</Paragraphs>
  <TotalTime>0</TotalTime>
  <ScaleCrop>false</ScaleCrop>
  <LinksUpToDate>false</LinksUpToDate>
  <CharactersWithSpaces>17038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2023-09-21T17:06:00Z</dcterms:created>
  <dc:creator>Kenedy Corteletti</dc:creator>
  <cp:lastModifiedBy>GerTI</cp:lastModifiedBy>
  <cp:lastPrinted>2023-09-22T12:03:11Z</cp:lastPrinted>
  <dcterms:modified xsi:type="dcterms:W3CDTF">2023-09-22T12:03:53Z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7CA7DAD464234DF7B947F30594E5DB1D_12</vt:lpwstr>
  </property>
</Properties>
</file>