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90"/>
        <w:gridCol w:w="702"/>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tabs>
                <w:tab w:val="left" w:pos="3160"/>
              </w:tabs>
              <w:jc w:val="center"/>
              <w:rPr>
                <w:sz w:val="20"/>
                <w:szCs w:val="20"/>
              </w:rPr>
            </w:pPr>
          </w:p>
        </w:tc>
        <w:tc>
          <w:tcPr>
            <w:tcW w:w="8494" w:type="dxa"/>
            <w:gridSpan w:val="3"/>
          </w:tcPr>
          <w:p>
            <w:pPr>
              <w:tabs>
                <w:tab w:val="left" w:pos="3160"/>
              </w:tabs>
              <w:jc w:val="center"/>
              <w:rPr>
                <w:sz w:val="20"/>
                <w:szCs w:val="20"/>
              </w:rPr>
            </w:pPr>
            <w:r>
              <w:rPr>
                <w:sz w:val="20"/>
                <w:szCs w:val="20"/>
              </w:rPr>
              <w:t>CHECKLIST – CARONA ATA DE REGISTRO DE PREÇO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Tipos de Documentos e Autorizações</w:t>
            </w:r>
          </w:p>
        </w:tc>
        <w:tc>
          <w:tcPr>
            <w:tcW w:w="702" w:type="dxa"/>
          </w:tcPr>
          <w:p>
            <w:pPr>
              <w:tabs>
                <w:tab w:val="left" w:pos="3160"/>
              </w:tabs>
              <w:rPr>
                <w:sz w:val="20"/>
                <w:szCs w:val="20"/>
              </w:rPr>
            </w:pPr>
            <w:r>
              <w:rPr>
                <w:sz w:val="14"/>
                <w:szCs w:val="20"/>
              </w:rPr>
              <w:t>PÁGINA</w:t>
            </w:r>
          </w:p>
        </w:tc>
        <w:tc>
          <w:tcPr>
            <w:tcW w:w="702" w:type="dxa"/>
          </w:tcPr>
          <w:p>
            <w:pPr>
              <w:tabs>
                <w:tab w:val="left" w:pos="3160"/>
              </w:tabs>
              <w:rPr>
                <w:sz w:val="20"/>
                <w:szCs w:val="20"/>
              </w:rPr>
            </w:pPr>
            <w:r>
              <w:rPr>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Memorando</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Termo de Referência – Conforme modelo disponibilizado no site</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Solicitação do Pedido no Sistema de Compras</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Ofício PMST solicitando a Adesão (Órgão)</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Ofício PMST solicitando a Adesão (Empresa)</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Ofício resposta do Órgão</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Ofício resposta da Empresa</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Edital do Pregão que resultou a Ata</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Adjudicação e Homologação do Pregão</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Publicação Resultado</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Ata de Registro de Preço</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Publicação da Ata de Registro de Preço</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Mínimo de 03 (três) orçamentos (Assinado pelo servidor responsável da pesquisa)</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Pr>
          <w:p>
            <w:pPr>
              <w:tabs>
                <w:tab w:val="left" w:pos="3160"/>
              </w:tabs>
              <w:rPr>
                <w:sz w:val="20"/>
                <w:szCs w:val="20"/>
              </w:rPr>
            </w:pPr>
            <w:r>
              <w:rPr>
                <w:sz w:val="20"/>
                <w:szCs w:val="20"/>
              </w:rPr>
              <w:t>Documentação de Habilitação Jurídica e Fiscal da empresa a ser contratada</w:t>
            </w:r>
          </w:p>
        </w:tc>
        <w:tc>
          <w:tcPr>
            <w:tcW w:w="702" w:type="dxa"/>
          </w:tcPr>
          <w:p>
            <w:pPr>
              <w:tabs>
                <w:tab w:val="left" w:pos="3160"/>
              </w:tabs>
              <w:rPr>
                <w:sz w:val="20"/>
                <w:szCs w:val="20"/>
              </w:rPr>
            </w:pPr>
          </w:p>
        </w:tc>
        <w:tc>
          <w:tcPr>
            <w:tcW w:w="702" w:type="dxa"/>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Borders>
              <w:top w:val="single" w:color="auto" w:sz="4" w:space="0"/>
              <w:left w:val="single" w:color="auto" w:sz="4" w:space="0"/>
              <w:bottom w:val="single" w:color="auto" w:sz="4" w:space="0"/>
              <w:right w:val="single" w:color="auto" w:sz="12" w:space="0"/>
            </w:tcBorders>
          </w:tcPr>
          <w:p>
            <w:pPr>
              <w:tabs>
                <w:tab w:val="left" w:pos="3160"/>
              </w:tabs>
              <w:rPr>
                <w:sz w:val="20"/>
                <w:szCs w:val="20"/>
              </w:rPr>
            </w:pPr>
            <w:r>
              <w:rPr>
                <w:sz w:val="20"/>
                <w:szCs w:val="20"/>
              </w:rPr>
              <w:t>Caso for por Convênio ou Emenda Parlamentar, anexar todos os documentos (Convênio, Publicação, Plano de Trabalho e outros)</w:t>
            </w:r>
          </w:p>
        </w:tc>
        <w:tc>
          <w:tcPr>
            <w:tcW w:w="702" w:type="dxa"/>
            <w:tcBorders>
              <w:top w:val="single" w:color="auto" w:sz="4" w:space="0"/>
              <w:left w:val="single" w:color="auto" w:sz="12" w:space="0"/>
              <w:bottom w:val="single" w:color="auto" w:sz="4" w:space="0"/>
              <w:right w:val="single" w:color="auto" w:sz="12" w:space="0"/>
            </w:tcBorders>
          </w:tcPr>
          <w:p>
            <w:pPr>
              <w:tabs>
                <w:tab w:val="left" w:pos="3160"/>
              </w:tabs>
              <w:rPr>
                <w:sz w:val="20"/>
                <w:szCs w:val="20"/>
              </w:rPr>
            </w:pPr>
          </w:p>
        </w:tc>
        <w:tc>
          <w:tcPr>
            <w:tcW w:w="702" w:type="dxa"/>
            <w:tcBorders>
              <w:top w:val="single" w:color="auto" w:sz="4" w:space="0"/>
              <w:left w:val="single" w:color="auto" w:sz="12" w:space="0"/>
              <w:bottom w:val="single" w:color="auto" w:sz="4" w:space="0"/>
              <w:right w:val="single" w:color="auto" w:sz="4" w:space="0"/>
            </w:tcBorders>
          </w:tcPr>
          <w:p>
            <w:pPr>
              <w:tabs>
                <w:tab w:val="left" w:pos="3160"/>
              </w:tabs>
              <w:rPr>
                <w:sz w:val="20"/>
                <w:szCs w:val="20"/>
              </w:rPr>
            </w:pPr>
          </w:p>
        </w:tc>
      </w:tr>
    </w:tbl>
    <w:p/>
    <w:p>
      <w:r>
        <w:t>Santa Teresa, -- de ---- de 20—</w:t>
      </w:r>
    </w:p>
    <w:p/>
    <w:p>
      <w:pPr>
        <w:jc w:val="center"/>
      </w:pPr>
      <w:r>
        <w:t>___________________________________________</w:t>
      </w:r>
    </w:p>
    <w:p>
      <w:pPr>
        <w:jc w:val="center"/>
      </w:pPr>
      <w:r>
        <w:t>Responsável</w:t>
      </w: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TERMO DE REFERÊNCIA – PADRONIZADO</w:t>
      </w:r>
    </w:p>
    <w:p>
      <w:pPr>
        <w:pStyle w:val="9"/>
        <w:ind w:left="0"/>
        <w:jc w:val="center"/>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(Aquisição SRP Carona)</w:t>
      </w:r>
    </w:p>
    <w:p>
      <w:pPr>
        <w:pStyle w:val="9"/>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 – SECRETARIA REQUISITANTE</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Pr>
          <w:rFonts w:ascii="Times New Roman" w:hAnsi="Times New Roman"/>
          <w:b/>
          <w:sz w:val="28"/>
          <w:szCs w:val="28"/>
          <w:highlight w:val="yellow"/>
        </w:rPr>
        <w:t>de ------</w:t>
      </w: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Ata de Registro de Preço)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2.1 Contratação de empresa para fornecimento de </w:t>
      </w:r>
      <w:r>
        <w:rPr>
          <w:rFonts w:ascii="Times New Roman" w:hAnsi="Times New Roman"/>
          <w:sz w:val="28"/>
          <w:szCs w:val="28"/>
          <w:highlight w:val="yellow"/>
        </w:rPr>
        <w:t>(descrever)</w:t>
      </w:r>
      <w:r>
        <w:rPr>
          <w:rFonts w:ascii="Times New Roman" w:hAnsi="Times New Roman"/>
          <w:sz w:val="28"/>
          <w:szCs w:val="28"/>
        </w:rPr>
        <w:t xml:space="preserve"> para atender a demanda da Secretaria Municipal </w:t>
      </w:r>
      <w:r>
        <w:rPr>
          <w:rFonts w:ascii="Times New Roman" w:hAnsi="Times New Roman"/>
          <w:sz w:val="28"/>
          <w:szCs w:val="28"/>
          <w:highlight w:val="yellow"/>
        </w:rPr>
        <w:t>de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3.1. A contratação de empresa para fornecimento de </w:t>
      </w:r>
      <w:r>
        <w:rPr>
          <w:rFonts w:ascii="Times New Roman" w:hAnsi="Times New Roman"/>
          <w:sz w:val="28"/>
          <w:szCs w:val="28"/>
          <w:highlight w:val="yellow"/>
        </w:rPr>
        <w:t>(descrever)</w:t>
      </w:r>
      <w:r>
        <w:rPr>
          <w:rFonts w:ascii="Times New Roman" w:hAnsi="Times New Roman"/>
          <w:sz w:val="28"/>
          <w:szCs w:val="28"/>
        </w:rPr>
        <w:t xml:space="preserve"> atenderá às necessidades da Secretaria Municipal </w:t>
      </w:r>
      <w:r>
        <w:rPr>
          <w:rFonts w:ascii="Times New Roman" w:hAnsi="Times New Roman"/>
          <w:sz w:val="28"/>
          <w:szCs w:val="28"/>
          <w:highlight w:val="yellow"/>
        </w:rPr>
        <w:t>de -----,</w:t>
      </w:r>
      <w:r>
        <w:rPr>
          <w:rFonts w:ascii="Times New Roman" w:hAnsi="Times New Roman"/>
          <w:sz w:val="28"/>
          <w:szCs w:val="28"/>
        </w:rPr>
        <w:t xml:space="preserve"> objetivando a demanda da secretaria.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highlight w:val="yellow"/>
        </w:rPr>
        <w:t>Atender necessidade de reposição de material para consumo imediato e estoque no almoxarifado central desta Secretaria para desempenho de suas atividades (complementar).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highlight w:val="yellow"/>
        </w:rPr>
        <w:t>A reposição se faz necessária em virtude do baixo estoque que ora se observa devido ao consumo regular.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4.1 Será realizada através da Adesão a Ata de Registro de Preço </w:t>
      </w:r>
      <w:r>
        <w:rPr>
          <w:rFonts w:ascii="Times New Roman" w:hAnsi="Times New Roman"/>
          <w:sz w:val="28"/>
          <w:szCs w:val="28"/>
          <w:highlight w:val="yellow"/>
        </w:rPr>
        <w:t>nº --/20--, resultante do Pregão Eletrônico o Presencial nº --/20--, do (informar qual órgão).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DO LOCAL E DA ENTREGA </w:t>
      </w:r>
      <w:r>
        <w:rPr>
          <w:rFonts w:ascii="Times New Roman" w:hAnsi="Times New Roman"/>
          <w:b/>
          <w:sz w:val="28"/>
          <w:szCs w:val="28"/>
          <w:highlight w:val="yellow"/>
        </w:rPr>
        <w:t>(prazo será conforme Ata de Registro de Preço)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lang w:val="zh-CN"/>
        </w:rPr>
        <w:t>O Contratado procederá à entrega dos produtos no Setor de Almoxarifado (Rua Darly Nerty Vervloet, 446, Centro, Santa Teresa</w:t>
      </w:r>
      <w:r>
        <w:rPr>
          <w:rFonts w:ascii="Times New Roman" w:hAnsi="Times New Roman"/>
          <w:sz w:val="28"/>
          <w:szCs w:val="28"/>
        </w:rPr>
        <w:t>-ES</w:t>
      </w:r>
      <w:r>
        <w:rPr>
          <w:rFonts w:ascii="Times New Roman" w:hAnsi="Times New Roman"/>
          <w:sz w:val="28"/>
          <w:szCs w:val="28"/>
          <w:lang w:val="zh-CN"/>
        </w:rPr>
        <w:t>)</w:t>
      </w:r>
      <w:r>
        <w:rPr>
          <w:rFonts w:ascii="Times New Roman" w:hAnsi="Times New Roman"/>
          <w:sz w:val="28"/>
          <w:szCs w:val="28"/>
        </w:rPr>
        <w:t xml:space="preserve">, Telefone (27) 3259-3900, dentro de seu horário de funcionamento: 08 as 11 horas e de 12:30 as 15:30 horas, </w:t>
      </w:r>
      <w:r>
        <w:rPr>
          <w:rFonts w:ascii="Times New Roman" w:hAnsi="Times New Roman"/>
          <w:sz w:val="28"/>
          <w:szCs w:val="28"/>
          <w:highlight w:val="yellow"/>
        </w:rPr>
        <w:t xml:space="preserve">em </w:t>
      </w:r>
      <w:r>
        <w:rPr>
          <w:rFonts w:ascii="Times New Roman" w:hAnsi="Times New Roman"/>
          <w:sz w:val="28"/>
          <w:szCs w:val="28"/>
          <w:highlight w:val="yellow"/>
          <w:lang w:val="zh-CN"/>
        </w:rPr>
        <w:t xml:space="preserve">até 10 (dez) dias </w:t>
      </w:r>
      <w:r>
        <w:rPr>
          <w:rFonts w:ascii="Times New Roman" w:hAnsi="Times New Roman"/>
          <w:sz w:val="28"/>
          <w:szCs w:val="28"/>
          <w:highlight w:val="yellow"/>
        </w:rPr>
        <w:t xml:space="preserve">consecutivos </w:t>
      </w:r>
      <w:r>
        <w:rPr>
          <w:rFonts w:ascii="Times New Roman" w:hAnsi="Times New Roman"/>
          <w:sz w:val="28"/>
          <w:szCs w:val="28"/>
          <w:highlight w:val="yellow"/>
          <w:lang w:val="zh-CN"/>
        </w:rPr>
        <w:t>após recebimento da Autorização de Fornecimento</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5.2 Todo e qualquer ônus decorrente da entrega do objeto licitado, inclusive frete, será de inteira responsabilidade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5.5 </w:t>
      </w:r>
      <w:r>
        <w:rPr>
          <w:rFonts w:ascii="Times New Roman" w:hAnsi="Times New Roman"/>
          <w:sz w:val="28"/>
          <w:szCs w:val="28"/>
          <w:lang w:val="zh-CN"/>
        </w:rPr>
        <w:t>A aceitação é condição essencial para o RECEBIMENTO DEFINITIVO do material, que será realizado exclusivamente pelo fiscal do contrato, através da aposição, data e assinatura do carimbo de “Atesto” na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5.6 Caso seja verificada qualquer incompatibilidade, ou apresentarem defeitos tais como: sinais aparentes de que não se tratam de materiais novos, de primeiro uso, dentre outros que possam identificar qualidade incompatível com a especificada 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5.7 O recebimento definitivo não excluirá a responsabilidade da Contratada pela perfeita qualidade do material fornecido, cabendo-lhe sanar quaisquer irregularidades detectadas quando da utilização desse material.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5.8 A Nota Fiscal deverá ser emitida pelo mesmo estabelecimento habilitado no procedimento licitatório e deverá estar em conformidade com a unidade de fornecimento indicada na proposta do fornecedor e da Nota de Empenho.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5.9 </w:t>
      </w:r>
      <w:r>
        <w:rPr>
          <w:rFonts w:ascii="Times New Roman" w:hAnsi="Times New Roman"/>
          <w:bCs/>
          <w:sz w:val="28"/>
          <w:szCs w:val="28"/>
        </w:rPr>
        <w:t>Os materiais deverão ser entregues devidamente protegidos e embalados adequadamente contra danos de transporte e acompanhados das respectivas notas fiscais de fornecimento.</w:t>
      </w:r>
    </w:p>
    <w:p>
      <w:pPr>
        <w:autoSpaceDE w:val="0"/>
        <w:autoSpaceDN w:val="0"/>
        <w:adjustRightInd w:val="0"/>
        <w:spacing w:after="0" w:line="240" w:lineRule="auto"/>
        <w:jc w:val="both"/>
        <w:rPr>
          <w:rFonts w:ascii="Times New Roman" w:hAnsi="Times New Roman"/>
          <w:bCs/>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GARANTIAS </w:t>
      </w:r>
      <w:r>
        <w:rPr>
          <w:rFonts w:ascii="Times New Roman" w:hAnsi="Times New Roman"/>
          <w:b/>
          <w:sz w:val="28"/>
          <w:szCs w:val="28"/>
          <w:highlight w:val="yellow"/>
        </w:rPr>
        <w:t>(conforme Ata de Registro de Preço)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6.1 Fornecer garantia mínima de </w:t>
      </w:r>
      <w:r>
        <w:rPr>
          <w:rFonts w:ascii="Times New Roman" w:hAnsi="Times New Roman"/>
          <w:sz w:val="28"/>
          <w:szCs w:val="28"/>
          <w:highlight w:val="yellow"/>
        </w:rPr>
        <w:t>-- (---) meses</w:t>
      </w:r>
      <w:r>
        <w:rPr>
          <w:rFonts w:ascii="Times New Roman" w:hAnsi="Times New Roman"/>
          <w:sz w:val="28"/>
          <w:szCs w:val="28"/>
        </w:rPr>
        <w:t xml:space="preserve"> a partir do recebimento do material. </w:t>
      </w:r>
      <w:r>
        <w:rPr>
          <w:rFonts w:ascii="Times New Roman" w:hAnsi="Times New Roman"/>
          <w:sz w:val="28"/>
          <w:szCs w:val="28"/>
          <w:highlight w:val="yellow"/>
        </w:rPr>
        <w:t>(caso tenha mais de um item e o prazo de garantia for diferente, deverá ser especificado o prazo de cada um)</w:t>
      </w:r>
    </w:p>
    <w:p>
      <w:pPr>
        <w:pStyle w:val="9"/>
        <w:autoSpaceDE w:val="0"/>
        <w:autoSpaceDN w:val="0"/>
        <w:adjustRightInd w:val="0"/>
        <w:spacing w:after="0" w:line="240" w:lineRule="auto"/>
        <w:ind w:left="0"/>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 Durante a garantia a empresa Contratada estará obrigado 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6.2.1. Substituir o material defeituoso,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6.2.2. Trocar o material no prazo de 10 (dez) dias corridos, a contar da data de comunicação da CONTRATANTE,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OBRIGAÇÕES DA CONTRATADA  </w:t>
      </w:r>
      <w:r>
        <w:rPr>
          <w:rFonts w:ascii="Times New Roman" w:hAnsi="Times New Roman"/>
          <w:b/>
          <w:sz w:val="28"/>
          <w:szCs w:val="28"/>
          <w:highlight w:val="yellow"/>
        </w:rPr>
        <w:t>(Itens 7.1 a 7.11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 Efetuar a entrega dos bens em perfeitas condições, no prazo e local indicado pela Administração, em estrita observância das especificações do Edital e da proposta, acompanhado da respectiva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7.2. Atender prontamente a quaisquer exigências da Administração, inerentes ao objeto da presente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7.3. Comunicar à Administração, no prazo máximo de 24 (vinte e quatro) horas que antecede a data da entrega, os motivos que impossibilitem o cumprimento do prazo previsto, com a devida comprovação;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7.4. Manter, durante toda a execução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7.5. Não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7.6. Responsabilizar-se pelas despesas dos tributos, encargos trabalhistas, previdenciários, fiscais, comerciais, taxas, fretes, seguros, deslocamento de pessoal, prestação de garantia e quaisquer outras que incidam ou venham a incidir na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7.7. Não promover nenhuma alteração do FORNECIMENTO ou especificações do bem, sem a prévia aprovação, por escrito, do Município;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7.8. Responder, entre outros, por todos os encargos referentes ao uso na fabricação do bem, de marcas e patentes sujeitas a "royalties" ou encargos semelhantes, usadas por ela para atendimento ao FORNECIMENTO ora contratado;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7.9. Responder, na forma da lei, por perdas e danos eventualmente causados ao Município ou a terceiros.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0" w:name="_Hlk520963627"/>
      <w:r>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7.10.1. Por acordo entre as partes as supressões poderão ser superiores ao limite de 25% estabelecido no item anterior.</w:t>
      </w:r>
    </w:p>
    <w:bookmarkEnd w:id="0"/>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7.11 Observar as normas legais de segurança que está sujeita a atividade de distribuição dos produtos contratados.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OBRIGAÇÕES DA CONTRATANTE </w:t>
      </w:r>
      <w:r>
        <w:rPr>
          <w:rFonts w:ascii="Times New Roman" w:hAnsi="Times New Roman"/>
          <w:b/>
          <w:sz w:val="28"/>
          <w:szCs w:val="28"/>
          <w:highlight w:val="yellow"/>
        </w:rPr>
        <w:t>(Itens 8.1 a 8.6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8.1. Receber provisoriamente o material, disponibilizando local, data e horário;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8.2. Verificar minuciosamente, no prazo fixado, a conformidade dos bens recebidos provisoriamente com as especificações constantes do Edital e da proposta, para fins de aceitação e recebimento definitivos;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8.3. Acompanhar e fiscalizar o cumprimento das obrigações da Contratada, através de servidor especialmente designado;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8.4. Efetuar o pagamento devido à Contratada, na forma estabelecida neste Termo, após a emissão e aceitação da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8.5. Oferecer todas as condições e informações necessárias para que a Contratada possa fornecer os produtos dentro das especificações exigidas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sz w:val="28"/>
          <w:szCs w:val="28"/>
        </w:rPr>
        <w:t xml:space="preserve">9.1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informar a validade, que não poderá ser inferior a 60 (sessenta) dias.</w:t>
      </w:r>
    </w:p>
    <w:bookmarkEnd w:id="1"/>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10.1. A fiscalização da contratação será exercida pelo servidor </w:t>
      </w:r>
      <w:r>
        <w:rPr>
          <w:rFonts w:ascii="Times New Roman" w:hAnsi="Times New Roman"/>
          <w:b/>
          <w:sz w:val="28"/>
          <w:szCs w:val="28"/>
          <w:highlight w:val="yellow"/>
        </w:rPr>
        <w:t>xxxxxxxxxx,</w:t>
      </w:r>
      <w:r>
        <w:rPr>
          <w:rFonts w:ascii="Times New Roman" w:hAnsi="Times New Roman"/>
          <w:sz w:val="28"/>
          <w:szCs w:val="28"/>
        </w:rPr>
        <w:t xml:space="preserve">   representante da Administração, ao qual competirá dirimir as dúvidas que surgirem no curso da execução do contrato, e de tudo dará ciência à Administração;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10.2.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Pr>
          <w:rFonts w:ascii="Times New Roman" w:hAnsi="Times New Roman"/>
          <w:bCs/>
          <w:iCs/>
          <w:sz w:val="28"/>
          <w:szCs w:val="28"/>
        </w:rPr>
        <w:t>Administração</w:t>
      </w:r>
      <w:r>
        <w:rPr>
          <w:rFonts w:ascii="Times New Roman" w:hAnsi="Times New Roman"/>
          <w:sz w:val="28"/>
          <w:szCs w:val="28"/>
        </w:rPr>
        <w:t xml:space="preserve"> ou de seus agentes e prepostos, de conformidade com o art.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10.3.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11.1. Os pagamentos referentes às Notas de Empenho dos materiais adquiridos serão efetuados em até 30 (trinta) dias após a apresentação das respectivas notas fiscais, devidamente atestadas pelo fiscal designado para 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11.6.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11.7.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11.8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VIGÊNCIA DO CONTRATO </w:t>
      </w:r>
      <w:r>
        <w:rPr>
          <w:rFonts w:ascii="Times New Roman" w:hAnsi="Times New Roman"/>
          <w:b/>
          <w:sz w:val="28"/>
          <w:szCs w:val="28"/>
          <w:highlight w:val="yellow"/>
        </w:rPr>
        <w:t>(conforme Ata de Registro de Preço)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12.1. </w:t>
      </w:r>
      <w:r>
        <w:rPr>
          <w:rFonts w:ascii="Times New Roman" w:hAnsi="Times New Roman"/>
          <w:sz w:val="28"/>
          <w:szCs w:val="28"/>
          <w:highlight w:val="yellow"/>
        </w:rPr>
        <w:t>O contrato terá inicio a partir do recebimento da Autorização de Fornecimento e terá duração correspondente ao fornecimento de todos os bens adquiridos, não podendo ultrapassar o respectivo crédito orçamentário.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QUALIFICAÇÃO TÉCNICA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13.1 – Não se aplica.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DA DOTAÇÃO ORÇAMENTÁRIA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14.1. </w:t>
      </w:r>
      <w:r>
        <w:rPr>
          <w:rFonts w:ascii="Times New Roman" w:hAnsi="Times New Roman"/>
          <w:color w:val="000000"/>
          <w:sz w:val="28"/>
          <w:szCs w:val="28"/>
        </w:rPr>
        <w:t xml:space="preserve">Os recursos financeiros para pagamento dos encargos resultantes deste instrumento correrão através da seguinte dotação orçamentária, </w:t>
      </w:r>
      <w:r>
        <w:rPr>
          <w:rFonts w:ascii="Times New Roman" w:hAnsi="Times New Roman"/>
          <w:color w:val="000000"/>
          <w:sz w:val="28"/>
          <w:szCs w:val="28"/>
          <w:highlight w:val="yellow"/>
        </w:rPr>
        <w:t>(quando for convênio, informar o número e o órgão concedente)</w:t>
      </w:r>
      <w:r>
        <w:rPr>
          <w:rFonts w:ascii="Times New Roman" w:hAnsi="Times New Roman"/>
          <w:sz w:val="28"/>
          <w:szCs w:val="28"/>
          <w:highlight w:val="yellow"/>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Elemento de Despesas: 00000000000– Material de Consumo;</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15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III - 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CONSIDERAÇÕES FINAIS </w:t>
      </w:r>
      <w:r>
        <w:rPr>
          <w:rFonts w:ascii="Times New Roman" w:hAnsi="Times New Roman"/>
          <w:b/>
          <w:sz w:val="28"/>
          <w:szCs w:val="28"/>
          <w:highlight w:val="yellow"/>
        </w:rPr>
        <w:t>(Itens 16.1 a 16.2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16.1.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16.2.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sectPr>
      <w:headerReference r:id="rId5" w:type="default"/>
      <w:footerReference r:id="rId6" w:type="default"/>
      <w:pgSz w:w="11906" w:h="16838"/>
      <w:pgMar w:top="2410"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b/>
        <w:sz w:val="28"/>
      </w:rPr>
    </w:pPr>
    <w:bookmarkStart w:id="2" w:name="_GoBack"/>
    <w:r>
      <w:rPr>
        <w:lang w:eastAsia="pt-BR"/>
      </w:rPr>
      <w:drawing>
        <wp:anchor distT="0" distB="0" distL="114300" distR="114300" simplePos="0" relativeHeight="251659264" behindDoc="1" locked="0" layoutInCell="1" allowOverlap="1">
          <wp:simplePos x="0" y="0"/>
          <wp:positionH relativeFrom="column">
            <wp:posOffset>-91440</wp:posOffset>
          </wp:positionH>
          <wp:positionV relativeFrom="paragraph">
            <wp:posOffset>0</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2"/>
    <w:r>
      <w:rPr>
        <w:b/>
        <w:sz w:val="28"/>
      </w:rPr>
      <w:tab/>
    </w:r>
    <w:r>
      <w:rPr>
        <w:b/>
        <w:sz w:val="28"/>
      </w:rPr>
      <w:tab/>
    </w:r>
  </w:p>
  <w:p>
    <w:pPr>
      <w:pStyle w:val="6"/>
      <w:jc w:val="center"/>
      <w:rPr>
        <w:b/>
        <w:sz w:val="28"/>
      </w:rPr>
    </w:pPr>
  </w:p>
  <w:p>
    <w:pPr>
      <w:pStyle w:val="6"/>
      <w:jc w:val="center"/>
      <w:rPr>
        <w:b/>
        <w:sz w:val="28"/>
      </w:rPr>
    </w:pPr>
    <w:r>
      <w:rPr>
        <w:b/>
        <w:sz w:val="28"/>
      </w:rPr>
      <w:t>PREFEITURA MUNICIPAL DE SANTA TERESA</w:t>
    </w:r>
  </w:p>
  <w:p>
    <w:pPr>
      <w:pStyle w:val="6"/>
      <w:jc w:val="center"/>
      <w:rPr>
        <w:b/>
        <w:sz w:val="28"/>
      </w:rPr>
    </w:pPr>
    <w:r>
      <w:rPr>
        <w:b/>
        <w:sz w:val="28"/>
      </w:rPr>
      <w:t>ESTADO DO ESPÍRITO SANTO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A3267"/>
    <w:rsid w:val="000A499A"/>
    <w:rsid w:val="000F194B"/>
    <w:rsid w:val="000F5D20"/>
    <w:rsid w:val="00157DCF"/>
    <w:rsid w:val="0016763D"/>
    <w:rsid w:val="00190A04"/>
    <w:rsid w:val="001978A4"/>
    <w:rsid w:val="001A2086"/>
    <w:rsid w:val="001C4D76"/>
    <w:rsid w:val="001C72BE"/>
    <w:rsid w:val="001D3B34"/>
    <w:rsid w:val="001D759C"/>
    <w:rsid w:val="001F1D93"/>
    <w:rsid w:val="00224661"/>
    <w:rsid w:val="0023012B"/>
    <w:rsid w:val="00264D4F"/>
    <w:rsid w:val="00281F21"/>
    <w:rsid w:val="002A1444"/>
    <w:rsid w:val="002A7D37"/>
    <w:rsid w:val="002D049D"/>
    <w:rsid w:val="00304D4D"/>
    <w:rsid w:val="00306CAA"/>
    <w:rsid w:val="00310A73"/>
    <w:rsid w:val="0031670B"/>
    <w:rsid w:val="00320B6F"/>
    <w:rsid w:val="003375FE"/>
    <w:rsid w:val="00347542"/>
    <w:rsid w:val="00354FA9"/>
    <w:rsid w:val="00370EF5"/>
    <w:rsid w:val="0038122E"/>
    <w:rsid w:val="00386D69"/>
    <w:rsid w:val="0039204E"/>
    <w:rsid w:val="00393491"/>
    <w:rsid w:val="003C3B34"/>
    <w:rsid w:val="004241A7"/>
    <w:rsid w:val="00430845"/>
    <w:rsid w:val="00437B1E"/>
    <w:rsid w:val="00444014"/>
    <w:rsid w:val="00453338"/>
    <w:rsid w:val="004D4E92"/>
    <w:rsid w:val="00501D50"/>
    <w:rsid w:val="00534BE6"/>
    <w:rsid w:val="00553AB8"/>
    <w:rsid w:val="00566C95"/>
    <w:rsid w:val="005A1564"/>
    <w:rsid w:val="005A497A"/>
    <w:rsid w:val="005A5E58"/>
    <w:rsid w:val="005D5BFD"/>
    <w:rsid w:val="006122C5"/>
    <w:rsid w:val="006350CB"/>
    <w:rsid w:val="00656980"/>
    <w:rsid w:val="00656FE3"/>
    <w:rsid w:val="00695A7A"/>
    <w:rsid w:val="00696A5F"/>
    <w:rsid w:val="006B2DBD"/>
    <w:rsid w:val="006B496B"/>
    <w:rsid w:val="006D7EBE"/>
    <w:rsid w:val="0070398A"/>
    <w:rsid w:val="0070793E"/>
    <w:rsid w:val="00710162"/>
    <w:rsid w:val="0073619A"/>
    <w:rsid w:val="00740447"/>
    <w:rsid w:val="00746BA9"/>
    <w:rsid w:val="00750145"/>
    <w:rsid w:val="00753902"/>
    <w:rsid w:val="00756984"/>
    <w:rsid w:val="00780BF7"/>
    <w:rsid w:val="0078363C"/>
    <w:rsid w:val="007947A4"/>
    <w:rsid w:val="007A425F"/>
    <w:rsid w:val="007B3A90"/>
    <w:rsid w:val="007B7CB8"/>
    <w:rsid w:val="007B7DBE"/>
    <w:rsid w:val="007D3DE1"/>
    <w:rsid w:val="007E1405"/>
    <w:rsid w:val="007E614B"/>
    <w:rsid w:val="00800FAE"/>
    <w:rsid w:val="00811B07"/>
    <w:rsid w:val="008122F2"/>
    <w:rsid w:val="00866DDB"/>
    <w:rsid w:val="0087497F"/>
    <w:rsid w:val="008943B0"/>
    <w:rsid w:val="008C573F"/>
    <w:rsid w:val="008D4C23"/>
    <w:rsid w:val="008E4207"/>
    <w:rsid w:val="0090345D"/>
    <w:rsid w:val="00903CF1"/>
    <w:rsid w:val="0090653B"/>
    <w:rsid w:val="00923AF1"/>
    <w:rsid w:val="009968A7"/>
    <w:rsid w:val="00996F72"/>
    <w:rsid w:val="009B7817"/>
    <w:rsid w:val="00A066CE"/>
    <w:rsid w:val="00A20D45"/>
    <w:rsid w:val="00A40D91"/>
    <w:rsid w:val="00A4745E"/>
    <w:rsid w:val="00A57AF4"/>
    <w:rsid w:val="00AC3B2F"/>
    <w:rsid w:val="00AF0842"/>
    <w:rsid w:val="00B30EF9"/>
    <w:rsid w:val="00B349F8"/>
    <w:rsid w:val="00B42026"/>
    <w:rsid w:val="00B47EAA"/>
    <w:rsid w:val="00B74D23"/>
    <w:rsid w:val="00BE00D4"/>
    <w:rsid w:val="00C00D5D"/>
    <w:rsid w:val="00C3415A"/>
    <w:rsid w:val="00C865FC"/>
    <w:rsid w:val="00C9107F"/>
    <w:rsid w:val="00CE6056"/>
    <w:rsid w:val="00D42C59"/>
    <w:rsid w:val="00D55C73"/>
    <w:rsid w:val="00D64A2D"/>
    <w:rsid w:val="00D7229A"/>
    <w:rsid w:val="00D87A71"/>
    <w:rsid w:val="00D924D4"/>
    <w:rsid w:val="00DB1F13"/>
    <w:rsid w:val="00DB3817"/>
    <w:rsid w:val="00DB74F5"/>
    <w:rsid w:val="00DC5A61"/>
    <w:rsid w:val="00DE3520"/>
    <w:rsid w:val="00DF129F"/>
    <w:rsid w:val="00E34D45"/>
    <w:rsid w:val="00E55A99"/>
    <w:rsid w:val="00E809E9"/>
    <w:rsid w:val="00EA2886"/>
    <w:rsid w:val="00EB3C62"/>
    <w:rsid w:val="00EC61E3"/>
    <w:rsid w:val="00ED3230"/>
    <w:rsid w:val="00ED4A7A"/>
    <w:rsid w:val="00EE1602"/>
    <w:rsid w:val="00EE77D7"/>
    <w:rsid w:val="00EF6E56"/>
    <w:rsid w:val="00F00E3C"/>
    <w:rsid w:val="00F12DE2"/>
    <w:rsid w:val="00F328F4"/>
    <w:rsid w:val="00F62BE7"/>
    <w:rsid w:val="00F636B1"/>
    <w:rsid w:val="00F6762B"/>
    <w:rsid w:val="00F72946"/>
    <w:rsid w:val="00F75CCE"/>
    <w:rsid w:val="00F80C1C"/>
    <w:rsid w:val="00FB319F"/>
    <w:rsid w:val="00FC66AC"/>
    <w:rsid w:val="00FD72A3"/>
    <w:rsid w:val="00FF5B8E"/>
    <w:rsid w:val="43BD2160"/>
    <w:rsid w:val="700536C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22"/>
    <w:rPr>
      <w:b/>
      <w:bCs/>
    </w:rPr>
  </w:style>
  <w:style w:type="paragraph" w:styleId="5">
    <w:name w:val="Body Text 2"/>
    <w:basedOn w:val="1"/>
    <w:link w:val="13"/>
    <w:semiHidden/>
    <w:unhideWhenUsed/>
    <w:qFormat/>
    <w:uiPriority w:val="99"/>
    <w:pPr>
      <w:spacing w:after="120" w:line="480" w:lineRule="auto"/>
    </w:pPr>
  </w:style>
  <w:style w:type="paragraph" w:styleId="6">
    <w:name w:val="header"/>
    <w:basedOn w:val="1"/>
    <w:link w:val="11"/>
    <w:unhideWhenUsed/>
    <w:qFormat/>
    <w:uiPriority w:val="99"/>
    <w:pPr>
      <w:tabs>
        <w:tab w:val="center" w:pos="4252"/>
        <w:tab w:val="right" w:pos="8504"/>
      </w:tabs>
      <w:spacing w:after="0" w:line="240" w:lineRule="auto"/>
    </w:pPr>
  </w:style>
  <w:style w:type="paragraph" w:styleId="7">
    <w:name w:val="footer"/>
    <w:basedOn w:val="1"/>
    <w:link w:val="12"/>
    <w:unhideWhenUsed/>
    <w:qFormat/>
    <w:uiPriority w:val="99"/>
    <w:pPr>
      <w:tabs>
        <w:tab w:val="center" w:pos="4252"/>
        <w:tab w:val="right" w:pos="8504"/>
      </w:tabs>
      <w:spacing w:after="0" w:line="240" w:lineRule="auto"/>
    </w:p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paragraph" w:styleId="10">
    <w:name w:val="No Spacing"/>
    <w:qFormat/>
    <w:uiPriority w:val="1"/>
    <w:rPr>
      <w:rFonts w:ascii="Calibri" w:hAnsi="Calibri" w:eastAsia="Calibri" w:cs="Times New Roman"/>
      <w:sz w:val="22"/>
      <w:szCs w:val="22"/>
      <w:lang w:val="pt-BR" w:eastAsia="en-US" w:bidi="ar-SA"/>
    </w:rPr>
  </w:style>
  <w:style w:type="character" w:customStyle="1" w:styleId="11">
    <w:name w:val="Cabeçalho Char"/>
    <w:basedOn w:val="2"/>
    <w:link w:val="6"/>
    <w:qFormat/>
    <w:uiPriority w:val="99"/>
  </w:style>
  <w:style w:type="character" w:customStyle="1" w:styleId="12">
    <w:name w:val="Rodapé Char"/>
    <w:basedOn w:val="2"/>
    <w:link w:val="7"/>
    <w:qFormat/>
    <w:uiPriority w:val="99"/>
  </w:style>
  <w:style w:type="character" w:customStyle="1" w:styleId="13">
    <w:name w:val="Corpo de texto 2 Char"/>
    <w:basedOn w:val="2"/>
    <w:link w:val="5"/>
    <w:semiHidden/>
    <w:qFormat/>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9EB3-23BF-4695-BDD2-83C7819320BD}">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12</Pages>
  <Words>2744</Words>
  <Characters>14821</Characters>
  <Lines>123</Lines>
  <Paragraphs>35</Paragraphs>
  <TotalTime>0</TotalTime>
  <ScaleCrop>false</ScaleCrop>
  <LinksUpToDate>false</LinksUpToDate>
  <CharactersWithSpaces>17530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2023-09-21T17:05:00Z</dcterms:created>
  <dc:creator>Kenedy Corteletti</dc:creator>
  <cp:lastModifiedBy>GerTI</cp:lastModifiedBy>
  <dcterms:modified xsi:type="dcterms:W3CDTF">2023-09-22T12:02:17Z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415912911A004E37BCBDB99F65793676_12</vt:lpwstr>
  </property>
</Properties>
</file>